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F72F92" w14:textId="77777777" w:rsidR="00D9504D" w:rsidRPr="00946F01" w:rsidRDefault="00D9504D" w:rsidP="00D9504D">
      <w:pPr>
        <w:rPr>
          <w:rFonts w:ascii="Batang" w:eastAsia="Batang" w:hAnsi="Batang"/>
          <w:b/>
          <w:color w:val="A6192E"/>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pPr>
      <w:bookmarkStart w:id="0" w:name="_GoBack"/>
      <w:bookmarkEnd w:id="0"/>
      <w:r w:rsidRPr="00946F01">
        <w:rPr>
          <w:rFonts w:ascii="Batang" w:eastAsia="Batang" w:hAnsi="Batang"/>
          <w:b/>
          <w:color w:val="A6192E"/>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 xml:space="preserve">2017 </w:t>
      </w:r>
      <w:r w:rsidR="006B355F" w:rsidRPr="00946F01">
        <w:rPr>
          <w:rFonts w:ascii="Batang" w:eastAsia="Batang" w:hAnsi="Batang"/>
          <w:b/>
          <w:color w:val="A6192E"/>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 xml:space="preserve">Annual </w:t>
      </w:r>
      <w:r w:rsidRPr="00946F01">
        <w:rPr>
          <w:rFonts w:ascii="Batang" w:eastAsia="Batang" w:hAnsi="Batang"/>
          <w:b/>
          <w:color w:val="A6192E"/>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Financial Report</w:t>
      </w:r>
    </w:p>
    <w:p w14:paraId="6BE8FE48" w14:textId="77777777" w:rsidR="00D9504D" w:rsidRDefault="00D9504D" w:rsidP="009D22CB">
      <w:pPr>
        <w:rPr>
          <w:b/>
        </w:rPr>
      </w:pPr>
    </w:p>
    <w:p w14:paraId="646FEEF0" w14:textId="378E1ABB" w:rsidR="00D9504D" w:rsidRDefault="00D9504D" w:rsidP="009D22CB">
      <w:pPr>
        <w:rPr>
          <w:b/>
        </w:rPr>
      </w:pPr>
    </w:p>
    <w:p w14:paraId="61A44230" w14:textId="3D759E77" w:rsidR="00CC6EAA" w:rsidRDefault="00CC6EAA" w:rsidP="009D22CB">
      <w:pPr>
        <w:rPr>
          <w:b/>
        </w:rPr>
      </w:pPr>
    </w:p>
    <w:p w14:paraId="644D1EA9" w14:textId="7D9E14A7" w:rsidR="00CC6EAA" w:rsidRDefault="00CC6EAA" w:rsidP="009D22CB">
      <w:pPr>
        <w:rPr>
          <w:b/>
        </w:rPr>
      </w:pPr>
    </w:p>
    <w:p w14:paraId="348B5403" w14:textId="40AF6F9C" w:rsidR="00CC6EAA" w:rsidRDefault="00CC6EAA" w:rsidP="009D22CB">
      <w:pPr>
        <w:rPr>
          <w:b/>
        </w:rPr>
      </w:pPr>
    </w:p>
    <w:p w14:paraId="25599BE6" w14:textId="77777777" w:rsidR="00CC6EAA" w:rsidRDefault="00CC6EAA" w:rsidP="009D22CB">
      <w:pPr>
        <w:rPr>
          <w:b/>
        </w:rPr>
      </w:pPr>
    </w:p>
    <w:p w14:paraId="352E64D9" w14:textId="57C72AE1" w:rsidR="00D9504D" w:rsidRDefault="00CC6EAA" w:rsidP="009D22CB">
      <w:pPr>
        <w:rPr>
          <w:b/>
        </w:rPr>
      </w:pPr>
      <w:r>
        <w:rPr>
          <w:b/>
          <w:noProof/>
          <w:sz w:val="28"/>
          <w:szCs w:val="28"/>
        </w:rPr>
        <w:drawing>
          <wp:anchor distT="0" distB="0" distL="114300" distR="114300" simplePos="0" relativeHeight="251661312" behindDoc="0" locked="0" layoutInCell="1" allowOverlap="1" wp14:anchorId="7864B8EC" wp14:editId="41D73235">
            <wp:simplePos x="0" y="0"/>
            <wp:positionH relativeFrom="margin">
              <wp:posOffset>476968</wp:posOffset>
            </wp:positionH>
            <wp:positionV relativeFrom="paragraph">
              <wp:posOffset>3554868</wp:posOffset>
            </wp:positionV>
            <wp:extent cx="2560320" cy="1846580"/>
            <wp:effectExtent l="57150" t="76200" r="259080" b="2679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320" cy="1846580"/>
                    </a:xfrm>
                    <a:prstGeom prst="rect">
                      <a:avLst/>
                    </a:prstGeom>
                    <a:ln>
                      <a:noFill/>
                    </a:ln>
                    <a:effectLst>
                      <a:outerShdw blurRad="292100" dist="139700" dir="2700000" algn="tl" rotWithShape="0">
                        <a:srgbClr val="333333">
                          <a:alpha val="65000"/>
                        </a:srgbClr>
                      </a:outerShdw>
                      <a:softEdge rad="127000"/>
                    </a:effectLst>
                  </pic:spPr>
                </pic:pic>
              </a:graphicData>
            </a:graphic>
            <wp14:sizeRelH relativeFrom="page">
              <wp14:pctWidth>0</wp14:pctWidth>
            </wp14:sizeRelH>
            <wp14:sizeRelV relativeFrom="page">
              <wp14:pctHeight>0</wp14:pctHeight>
            </wp14:sizeRelV>
          </wp:anchor>
        </w:drawing>
      </w:r>
      <w:r>
        <w:rPr>
          <w:b/>
          <w:noProof/>
        </w:rPr>
        <w:drawing>
          <wp:inline distT="0" distB="0" distL="0" distR="0" wp14:anchorId="663B8965" wp14:editId="1A3D37F1">
            <wp:extent cx="5943600" cy="397573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ewis Rooft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75735"/>
                    </a:xfrm>
                    <a:prstGeom prst="rect">
                      <a:avLst/>
                    </a:prstGeom>
                  </pic:spPr>
                </pic:pic>
              </a:graphicData>
            </a:graphic>
          </wp:inline>
        </w:drawing>
      </w:r>
    </w:p>
    <w:p w14:paraId="4FDFB5BE" w14:textId="0FFE1EAB" w:rsidR="00D9504D" w:rsidRDefault="00D9504D" w:rsidP="009D22CB">
      <w:pPr>
        <w:rPr>
          <w:b/>
        </w:rPr>
      </w:pPr>
    </w:p>
    <w:p w14:paraId="544C1CDA" w14:textId="77777777" w:rsidR="00D9504D" w:rsidRDefault="00D9504D" w:rsidP="009D22CB">
      <w:pPr>
        <w:rPr>
          <w:b/>
        </w:rPr>
      </w:pPr>
    </w:p>
    <w:p w14:paraId="06FBC771" w14:textId="30235D83" w:rsidR="00D9504D" w:rsidRDefault="00D9504D" w:rsidP="009D22CB">
      <w:pPr>
        <w:rPr>
          <w:b/>
        </w:rPr>
      </w:pPr>
    </w:p>
    <w:p w14:paraId="041EF147" w14:textId="77777777" w:rsidR="00D9504D" w:rsidRDefault="00D9504D" w:rsidP="009D22CB">
      <w:pPr>
        <w:rPr>
          <w:b/>
        </w:rPr>
      </w:pPr>
    </w:p>
    <w:p w14:paraId="321ADF40" w14:textId="77777777" w:rsidR="00D9504D" w:rsidRDefault="00D9504D" w:rsidP="009D22CB">
      <w:pPr>
        <w:rPr>
          <w:b/>
        </w:rPr>
      </w:pPr>
    </w:p>
    <w:p w14:paraId="4BF36567" w14:textId="77777777" w:rsidR="00D9504D" w:rsidRDefault="00D9504D" w:rsidP="009D22CB">
      <w:pPr>
        <w:rPr>
          <w:b/>
        </w:rPr>
      </w:pPr>
    </w:p>
    <w:p w14:paraId="53860160" w14:textId="77777777" w:rsidR="00D9504D" w:rsidRDefault="00D9504D" w:rsidP="009D22CB">
      <w:pPr>
        <w:rPr>
          <w:b/>
        </w:rPr>
      </w:pPr>
    </w:p>
    <w:p w14:paraId="56EF9B5D" w14:textId="77777777" w:rsidR="00D9504D" w:rsidRDefault="00D9504D" w:rsidP="009D22CB">
      <w:pPr>
        <w:rPr>
          <w:b/>
        </w:rPr>
      </w:pPr>
    </w:p>
    <w:p w14:paraId="4128104F" w14:textId="77777777" w:rsidR="00D9504D" w:rsidRDefault="00D9504D" w:rsidP="009D22CB">
      <w:pPr>
        <w:rPr>
          <w:b/>
        </w:rPr>
      </w:pPr>
    </w:p>
    <w:p w14:paraId="39067227" w14:textId="77777777" w:rsidR="00D9504D" w:rsidRDefault="00D9504D" w:rsidP="009D22CB">
      <w:pPr>
        <w:rPr>
          <w:b/>
        </w:rPr>
      </w:pPr>
    </w:p>
    <w:p w14:paraId="475618A3" w14:textId="5664A145" w:rsidR="00D9504D" w:rsidRDefault="00D9504D" w:rsidP="009D22CB">
      <w:pPr>
        <w:rPr>
          <w:b/>
        </w:rPr>
      </w:pPr>
    </w:p>
    <w:p w14:paraId="4CFBF038" w14:textId="77777777" w:rsidR="00D9504D" w:rsidRDefault="00D9504D" w:rsidP="009D22CB">
      <w:pPr>
        <w:rPr>
          <w:b/>
        </w:rPr>
      </w:pPr>
    </w:p>
    <w:p w14:paraId="783B675C" w14:textId="77777777" w:rsidR="00D9504D" w:rsidRDefault="00D9504D" w:rsidP="009D22CB">
      <w:pPr>
        <w:rPr>
          <w:b/>
        </w:rPr>
      </w:pPr>
    </w:p>
    <w:p w14:paraId="19F93E84" w14:textId="77777777" w:rsidR="00D9504D" w:rsidRDefault="00D9504D" w:rsidP="009D22CB">
      <w:pPr>
        <w:rPr>
          <w:b/>
        </w:rPr>
      </w:pPr>
    </w:p>
    <w:p w14:paraId="09E01ECE" w14:textId="77777777" w:rsidR="00D9504D" w:rsidRDefault="00D9504D" w:rsidP="009D22CB">
      <w:pPr>
        <w:rPr>
          <w:b/>
        </w:rPr>
      </w:pPr>
    </w:p>
    <w:p w14:paraId="6352DA1D" w14:textId="77777777" w:rsidR="00D9504D" w:rsidRDefault="00D9504D" w:rsidP="00D9504D">
      <w:pPr>
        <w:jc w:val="center"/>
        <w:rPr>
          <w:b/>
        </w:rPr>
      </w:pPr>
      <w:r>
        <w:rPr>
          <w:b/>
        </w:rPr>
        <w:lastRenderedPageBreak/>
        <w:t>Skagit Valley College</w:t>
      </w:r>
    </w:p>
    <w:p w14:paraId="7C866C2A" w14:textId="77777777" w:rsidR="00395C84" w:rsidRDefault="00D9504D" w:rsidP="00D9504D">
      <w:pPr>
        <w:jc w:val="center"/>
        <w:rPr>
          <w:b/>
        </w:rPr>
      </w:pPr>
      <w:r>
        <w:rPr>
          <w:b/>
        </w:rPr>
        <w:t xml:space="preserve">2017 </w:t>
      </w:r>
      <w:r w:rsidR="00113B57" w:rsidRPr="00AE4298">
        <w:rPr>
          <w:b/>
        </w:rPr>
        <w:t>Financial Report</w:t>
      </w:r>
    </w:p>
    <w:p w14:paraId="4BF07B19" w14:textId="77777777" w:rsidR="006B355F" w:rsidRDefault="006B355F" w:rsidP="00D9504D">
      <w:pPr>
        <w:jc w:val="center"/>
        <w:rPr>
          <w:b/>
        </w:rPr>
      </w:pPr>
      <w:r>
        <w:rPr>
          <w:b/>
        </w:rPr>
        <w:t>Fiscal Year Ended June 30, 2017</w:t>
      </w:r>
    </w:p>
    <w:p w14:paraId="63AF4107" w14:textId="77777777" w:rsidR="007C6597" w:rsidRDefault="007C6597" w:rsidP="007C6597">
      <w:pPr>
        <w:pStyle w:val="NoSpacing"/>
      </w:pPr>
    </w:p>
    <w:p w14:paraId="555E864E" w14:textId="77777777" w:rsidR="007C6597" w:rsidRDefault="007C6597" w:rsidP="009D22CB">
      <w:pPr>
        <w:rPr>
          <w:b/>
        </w:rPr>
      </w:pPr>
    </w:p>
    <w:p w14:paraId="2653333B" w14:textId="77777777" w:rsidR="007C6597" w:rsidRPr="00AE4298" w:rsidRDefault="007C6597" w:rsidP="009D22CB">
      <w:pPr>
        <w:rPr>
          <w:b/>
        </w:rPr>
      </w:pPr>
      <w:r>
        <w:rPr>
          <w:b/>
        </w:rPr>
        <w:t>Table of Contents</w:t>
      </w:r>
    </w:p>
    <w:p w14:paraId="60E1308E" w14:textId="77777777" w:rsidR="00113B57" w:rsidRPr="00C13603" w:rsidRDefault="00113B57" w:rsidP="009D22CB">
      <w:pPr>
        <w:rPr>
          <w:highlight w:val="yellow"/>
        </w:rPr>
      </w:pPr>
    </w:p>
    <w:p w14:paraId="1547881F" w14:textId="7CE41820" w:rsidR="004E0102" w:rsidRDefault="006813FD">
      <w:pPr>
        <w:pStyle w:val="TOC1"/>
        <w:tabs>
          <w:tab w:val="right" w:leader="dot" w:pos="9350"/>
        </w:tabs>
        <w:rPr>
          <w:rFonts w:asciiTheme="minorHAnsi" w:eastAsiaTheme="minorEastAsia" w:hAnsiTheme="minorHAnsi"/>
          <w:noProof/>
          <w:sz w:val="22"/>
          <w:szCs w:val="22"/>
        </w:rPr>
      </w:pPr>
      <w:r>
        <w:fldChar w:fldCharType="begin"/>
      </w:r>
      <w:r>
        <w:instrText xml:space="preserve"> TOC \o "1-1" \h \z \u </w:instrText>
      </w:r>
      <w:r>
        <w:fldChar w:fldCharType="separate"/>
      </w:r>
      <w:hyperlink w:anchor="_Toc498672886" w:history="1">
        <w:r w:rsidR="004E0102" w:rsidRPr="002F017F">
          <w:rPr>
            <w:rStyle w:val="Hyperlink"/>
            <w:noProof/>
          </w:rPr>
          <w:t>Trustees and Executive Officers</w:t>
        </w:r>
        <w:r w:rsidR="004E0102">
          <w:rPr>
            <w:noProof/>
            <w:webHidden/>
          </w:rPr>
          <w:tab/>
        </w:r>
        <w:r w:rsidR="004E0102">
          <w:rPr>
            <w:noProof/>
            <w:webHidden/>
          </w:rPr>
          <w:fldChar w:fldCharType="begin"/>
        </w:r>
        <w:r w:rsidR="004E0102">
          <w:rPr>
            <w:noProof/>
            <w:webHidden/>
          </w:rPr>
          <w:instrText xml:space="preserve"> PAGEREF _Toc498672886 \h </w:instrText>
        </w:r>
        <w:r w:rsidR="004E0102">
          <w:rPr>
            <w:noProof/>
            <w:webHidden/>
          </w:rPr>
        </w:r>
        <w:r w:rsidR="004E0102">
          <w:rPr>
            <w:noProof/>
            <w:webHidden/>
          </w:rPr>
          <w:fldChar w:fldCharType="separate"/>
        </w:r>
        <w:r w:rsidR="00AA1E81">
          <w:rPr>
            <w:noProof/>
            <w:webHidden/>
          </w:rPr>
          <w:t>3</w:t>
        </w:r>
        <w:r w:rsidR="004E0102">
          <w:rPr>
            <w:noProof/>
            <w:webHidden/>
          </w:rPr>
          <w:fldChar w:fldCharType="end"/>
        </w:r>
      </w:hyperlink>
    </w:p>
    <w:p w14:paraId="743DCCCC" w14:textId="7A872F75" w:rsidR="004E0102" w:rsidRDefault="006A61A0">
      <w:pPr>
        <w:pStyle w:val="TOC1"/>
        <w:tabs>
          <w:tab w:val="right" w:leader="dot" w:pos="9350"/>
        </w:tabs>
        <w:rPr>
          <w:rFonts w:asciiTheme="minorHAnsi" w:eastAsiaTheme="minorEastAsia" w:hAnsiTheme="minorHAnsi"/>
          <w:noProof/>
          <w:sz w:val="22"/>
          <w:szCs w:val="22"/>
        </w:rPr>
      </w:pPr>
      <w:hyperlink w:anchor="_Toc498672887" w:history="1">
        <w:r w:rsidR="004E0102" w:rsidRPr="002F017F">
          <w:rPr>
            <w:rStyle w:val="Hyperlink"/>
            <w:noProof/>
          </w:rPr>
          <w:t>Independent Auditor’s Report on Financial Statements</w:t>
        </w:r>
        <w:r w:rsidR="004E0102">
          <w:rPr>
            <w:noProof/>
            <w:webHidden/>
          </w:rPr>
          <w:tab/>
        </w:r>
        <w:r w:rsidR="004E0102">
          <w:rPr>
            <w:noProof/>
            <w:webHidden/>
          </w:rPr>
          <w:fldChar w:fldCharType="begin"/>
        </w:r>
        <w:r w:rsidR="004E0102">
          <w:rPr>
            <w:noProof/>
            <w:webHidden/>
          </w:rPr>
          <w:instrText xml:space="preserve"> PAGEREF _Toc498672887 \h </w:instrText>
        </w:r>
        <w:r w:rsidR="004E0102">
          <w:rPr>
            <w:noProof/>
            <w:webHidden/>
          </w:rPr>
        </w:r>
        <w:r w:rsidR="004E0102">
          <w:rPr>
            <w:noProof/>
            <w:webHidden/>
          </w:rPr>
          <w:fldChar w:fldCharType="separate"/>
        </w:r>
        <w:r w:rsidR="00AA1E81">
          <w:rPr>
            <w:noProof/>
            <w:webHidden/>
          </w:rPr>
          <w:t>4</w:t>
        </w:r>
        <w:r w:rsidR="004E0102">
          <w:rPr>
            <w:noProof/>
            <w:webHidden/>
          </w:rPr>
          <w:fldChar w:fldCharType="end"/>
        </w:r>
      </w:hyperlink>
    </w:p>
    <w:p w14:paraId="01E6AF84" w14:textId="390BA74C" w:rsidR="004E0102" w:rsidRDefault="006A61A0">
      <w:pPr>
        <w:pStyle w:val="TOC1"/>
        <w:tabs>
          <w:tab w:val="right" w:leader="dot" w:pos="9350"/>
        </w:tabs>
        <w:rPr>
          <w:rFonts w:asciiTheme="minorHAnsi" w:eastAsiaTheme="minorEastAsia" w:hAnsiTheme="minorHAnsi"/>
          <w:noProof/>
          <w:sz w:val="22"/>
          <w:szCs w:val="22"/>
        </w:rPr>
      </w:pPr>
      <w:hyperlink w:anchor="_Toc498672888" w:history="1">
        <w:r w:rsidR="004E0102" w:rsidRPr="002F017F">
          <w:rPr>
            <w:rStyle w:val="Hyperlink"/>
            <w:noProof/>
          </w:rPr>
          <w:t>Management’s Discussion and Analysis</w:t>
        </w:r>
        <w:r w:rsidR="004E0102">
          <w:rPr>
            <w:noProof/>
            <w:webHidden/>
          </w:rPr>
          <w:tab/>
        </w:r>
        <w:r w:rsidR="004E0102">
          <w:rPr>
            <w:noProof/>
            <w:webHidden/>
          </w:rPr>
          <w:fldChar w:fldCharType="begin"/>
        </w:r>
        <w:r w:rsidR="004E0102">
          <w:rPr>
            <w:noProof/>
            <w:webHidden/>
          </w:rPr>
          <w:instrText xml:space="preserve"> PAGEREF _Toc498672888 \h </w:instrText>
        </w:r>
        <w:r w:rsidR="004E0102">
          <w:rPr>
            <w:noProof/>
            <w:webHidden/>
          </w:rPr>
        </w:r>
        <w:r w:rsidR="004E0102">
          <w:rPr>
            <w:noProof/>
            <w:webHidden/>
          </w:rPr>
          <w:fldChar w:fldCharType="separate"/>
        </w:r>
        <w:r w:rsidR="00AA1E81">
          <w:rPr>
            <w:noProof/>
            <w:webHidden/>
          </w:rPr>
          <w:t>14</w:t>
        </w:r>
        <w:r w:rsidR="004E0102">
          <w:rPr>
            <w:noProof/>
            <w:webHidden/>
          </w:rPr>
          <w:fldChar w:fldCharType="end"/>
        </w:r>
      </w:hyperlink>
    </w:p>
    <w:p w14:paraId="24BDF7D0" w14:textId="6276D350" w:rsidR="004E0102" w:rsidRDefault="006A61A0">
      <w:pPr>
        <w:pStyle w:val="TOC1"/>
        <w:tabs>
          <w:tab w:val="right" w:leader="dot" w:pos="9350"/>
        </w:tabs>
        <w:rPr>
          <w:rFonts w:asciiTheme="minorHAnsi" w:eastAsiaTheme="minorEastAsia" w:hAnsiTheme="minorHAnsi"/>
          <w:noProof/>
          <w:sz w:val="22"/>
          <w:szCs w:val="22"/>
        </w:rPr>
      </w:pPr>
      <w:hyperlink w:anchor="_Toc498672890" w:history="1">
        <w:r w:rsidR="004E0102" w:rsidRPr="002F017F">
          <w:rPr>
            <w:rStyle w:val="Hyperlink"/>
            <w:noProof/>
          </w:rPr>
          <w:t>Skagit Valley College Statement of Net Position</w:t>
        </w:r>
        <w:r w:rsidR="004E0102">
          <w:rPr>
            <w:noProof/>
            <w:webHidden/>
          </w:rPr>
          <w:tab/>
        </w:r>
        <w:r w:rsidR="004E0102">
          <w:rPr>
            <w:noProof/>
            <w:webHidden/>
          </w:rPr>
          <w:fldChar w:fldCharType="begin"/>
        </w:r>
        <w:r w:rsidR="004E0102">
          <w:rPr>
            <w:noProof/>
            <w:webHidden/>
          </w:rPr>
          <w:instrText xml:space="preserve"> PAGEREF _Toc498672890 \h </w:instrText>
        </w:r>
        <w:r w:rsidR="004E0102">
          <w:rPr>
            <w:noProof/>
            <w:webHidden/>
          </w:rPr>
        </w:r>
        <w:r w:rsidR="004E0102">
          <w:rPr>
            <w:noProof/>
            <w:webHidden/>
          </w:rPr>
          <w:fldChar w:fldCharType="separate"/>
        </w:r>
        <w:r w:rsidR="00AA1E81">
          <w:rPr>
            <w:noProof/>
            <w:webHidden/>
          </w:rPr>
          <w:t>24</w:t>
        </w:r>
        <w:r w:rsidR="004E0102">
          <w:rPr>
            <w:noProof/>
            <w:webHidden/>
          </w:rPr>
          <w:fldChar w:fldCharType="end"/>
        </w:r>
      </w:hyperlink>
    </w:p>
    <w:p w14:paraId="26D8A74B" w14:textId="780A7EFC" w:rsidR="004E0102" w:rsidRDefault="006A61A0">
      <w:pPr>
        <w:pStyle w:val="TOC1"/>
        <w:tabs>
          <w:tab w:val="right" w:leader="dot" w:pos="9350"/>
        </w:tabs>
        <w:rPr>
          <w:rFonts w:asciiTheme="minorHAnsi" w:eastAsiaTheme="minorEastAsia" w:hAnsiTheme="minorHAnsi"/>
          <w:noProof/>
          <w:sz w:val="22"/>
          <w:szCs w:val="22"/>
        </w:rPr>
      </w:pPr>
      <w:hyperlink w:anchor="_Toc498672891" w:history="1">
        <w:r w:rsidR="004E0102" w:rsidRPr="002F017F">
          <w:rPr>
            <w:rStyle w:val="Hyperlink"/>
            <w:noProof/>
          </w:rPr>
          <w:t>Skagit Valley College Statement of Revenues, Expenditures and Changes in Net Position</w:t>
        </w:r>
        <w:r w:rsidR="004E0102">
          <w:rPr>
            <w:noProof/>
            <w:webHidden/>
          </w:rPr>
          <w:tab/>
        </w:r>
        <w:r w:rsidR="004E0102">
          <w:rPr>
            <w:noProof/>
            <w:webHidden/>
          </w:rPr>
          <w:fldChar w:fldCharType="begin"/>
        </w:r>
        <w:r w:rsidR="004E0102">
          <w:rPr>
            <w:noProof/>
            <w:webHidden/>
          </w:rPr>
          <w:instrText xml:space="preserve"> PAGEREF _Toc498672891 \h </w:instrText>
        </w:r>
        <w:r w:rsidR="004E0102">
          <w:rPr>
            <w:noProof/>
            <w:webHidden/>
          </w:rPr>
        </w:r>
        <w:r w:rsidR="004E0102">
          <w:rPr>
            <w:noProof/>
            <w:webHidden/>
          </w:rPr>
          <w:fldChar w:fldCharType="separate"/>
        </w:r>
        <w:r w:rsidR="00AA1E81">
          <w:rPr>
            <w:noProof/>
            <w:webHidden/>
          </w:rPr>
          <w:t>25</w:t>
        </w:r>
        <w:r w:rsidR="004E0102">
          <w:rPr>
            <w:noProof/>
            <w:webHidden/>
          </w:rPr>
          <w:fldChar w:fldCharType="end"/>
        </w:r>
      </w:hyperlink>
    </w:p>
    <w:p w14:paraId="6096B070" w14:textId="0582671F" w:rsidR="004E0102" w:rsidRDefault="006A61A0">
      <w:pPr>
        <w:pStyle w:val="TOC1"/>
        <w:tabs>
          <w:tab w:val="right" w:leader="dot" w:pos="9350"/>
        </w:tabs>
        <w:rPr>
          <w:rFonts w:asciiTheme="minorHAnsi" w:eastAsiaTheme="minorEastAsia" w:hAnsiTheme="minorHAnsi"/>
          <w:noProof/>
          <w:sz w:val="22"/>
          <w:szCs w:val="22"/>
        </w:rPr>
      </w:pPr>
      <w:hyperlink w:anchor="_Toc498672892" w:history="1">
        <w:r w:rsidR="004E0102" w:rsidRPr="002F017F">
          <w:rPr>
            <w:rStyle w:val="Hyperlink"/>
            <w:noProof/>
          </w:rPr>
          <w:t>Skagit Valley College Statement of Cash Flows</w:t>
        </w:r>
        <w:r w:rsidR="004E0102">
          <w:rPr>
            <w:noProof/>
            <w:webHidden/>
          </w:rPr>
          <w:tab/>
        </w:r>
        <w:r w:rsidR="004E0102">
          <w:rPr>
            <w:noProof/>
            <w:webHidden/>
          </w:rPr>
          <w:fldChar w:fldCharType="begin"/>
        </w:r>
        <w:r w:rsidR="004E0102">
          <w:rPr>
            <w:noProof/>
            <w:webHidden/>
          </w:rPr>
          <w:instrText xml:space="preserve"> PAGEREF _Toc498672892 \h </w:instrText>
        </w:r>
        <w:r w:rsidR="004E0102">
          <w:rPr>
            <w:noProof/>
            <w:webHidden/>
          </w:rPr>
        </w:r>
        <w:r w:rsidR="004E0102">
          <w:rPr>
            <w:noProof/>
            <w:webHidden/>
          </w:rPr>
          <w:fldChar w:fldCharType="separate"/>
        </w:r>
        <w:r w:rsidR="00AA1E81">
          <w:rPr>
            <w:noProof/>
            <w:webHidden/>
          </w:rPr>
          <w:t>26</w:t>
        </w:r>
        <w:r w:rsidR="004E0102">
          <w:rPr>
            <w:noProof/>
            <w:webHidden/>
          </w:rPr>
          <w:fldChar w:fldCharType="end"/>
        </w:r>
      </w:hyperlink>
    </w:p>
    <w:p w14:paraId="0FFBA620" w14:textId="120D0D5F" w:rsidR="004E0102" w:rsidRDefault="006A61A0">
      <w:pPr>
        <w:pStyle w:val="TOC1"/>
        <w:tabs>
          <w:tab w:val="right" w:leader="dot" w:pos="9350"/>
        </w:tabs>
        <w:rPr>
          <w:rFonts w:asciiTheme="minorHAnsi" w:eastAsiaTheme="minorEastAsia" w:hAnsiTheme="minorHAnsi"/>
          <w:noProof/>
          <w:sz w:val="22"/>
          <w:szCs w:val="22"/>
        </w:rPr>
      </w:pPr>
      <w:hyperlink w:anchor="_Toc498672893" w:history="1">
        <w:r w:rsidR="004E0102" w:rsidRPr="002F017F">
          <w:rPr>
            <w:rStyle w:val="Hyperlink"/>
            <w:noProof/>
          </w:rPr>
          <w:t>Skagit Valley College Statement of Cash Flows – Continued</w:t>
        </w:r>
        <w:r w:rsidR="004E0102">
          <w:rPr>
            <w:noProof/>
            <w:webHidden/>
          </w:rPr>
          <w:tab/>
        </w:r>
        <w:r w:rsidR="004E0102">
          <w:rPr>
            <w:noProof/>
            <w:webHidden/>
          </w:rPr>
          <w:fldChar w:fldCharType="begin"/>
        </w:r>
        <w:r w:rsidR="004E0102">
          <w:rPr>
            <w:noProof/>
            <w:webHidden/>
          </w:rPr>
          <w:instrText xml:space="preserve"> PAGEREF _Toc498672893 \h </w:instrText>
        </w:r>
        <w:r w:rsidR="004E0102">
          <w:rPr>
            <w:noProof/>
            <w:webHidden/>
          </w:rPr>
        </w:r>
        <w:r w:rsidR="004E0102">
          <w:rPr>
            <w:noProof/>
            <w:webHidden/>
          </w:rPr>
          <w:fldChar w:fldCharType="separate"/>
        </w:r>
        <w:r w:rsidR="00AA1E81">
          <w:rPr>
            <w:noProof/>
            <w:webHidden/>
          </w:rPr>
          <w:t>27</w:t>
        </w:r>
        <w:r w:rsidR="004E0102">
          <w:rPr>
            <w:noProof/>
            <w:webHidden/>
          </w:rPr>
          <w:fldChar w:fldCharType="end"/>
        </w:r>
      </w:hyperlink>
    </w:p>
    <w:p w14:paraId="4420C4EF" w14:textId="5E71F1D7" w:rsidR="004E0102" w:rsidRDefault="006A61A0">
      <w:pPr>
        <w:pStyle w:val="TOC1"/>
        <w:tabs>
          <w:tab w:val="right" w:leader="dot" w:pos="9350"/>
        </w:tabs>
        <w:rPr>
          <w:rFonts w:asciiTheme="minorHAnsi" w:eastAsiaTheme="minorEastAsia" w:hAnsiTheme="minorHAnsi"/>
          <w:noProof/>
          <w:sz w:val="22"/>
          <w:szCs w:val="22"/>
        </w:rPr>
      </w:pPr>
      <w:hyperlink w:anchor="_Toc498672894" w:history="1">
        <w:r w:rsidR="004E0102" w:rsidRPr="002F017F">
          <w:rPr>
            <w:rStyle w:val="Hyperlink"/>
            <w:noProof/>
          </w:rPr>
          <w:t>Foundation Statement of Financial Position</w:t>
        </w:r>
        <w:r w:rsidR="004E0102">
          <w:rPr>
            <w:noProof/>
            <w:webHidden/>
          </w:rPr>
          <w:tab/>
        </w:r>
        <w:r w:rsidR="004E0102">
          <w:rPr>
            <w:noProof/>
            <w:webHidden/>
          </w:rPr>
          <w:fldChar w:fldCharType="begin"/>
        </w:r>
        <w:r w:rsidR="004E0102">
          <w:rPr>
            <w:noProof/>
            <w:webHidden/>
          </w:rPr>
          <w:instrText xml:space="preserve"> PAGEREF _Toc498672894 \h </w:instrText>
        </w:r>
        <w:r w:rsidR="004E0102">
          <w:rPr>
            <w:noProof/>
            <w:webHidden/>
          </w:rPr>
        </w:r>
        <w:r w:rsidR="004E0102">
          <w:rPr>
            <w:noProof/>
            <w:webHidden/>
          </w:rPr>
          <w:fldChar w:fldCharType="separate"/>
        </w:r>
        <w:r w:rsidR="00AA1E81">
          <w:rPr>
            <w:noProof/>
            <w:webHidden/>
          </w:rPr>
          <w:t>28</w:t>
        </w:r>
        <w:r w:rsidR="004E0102">
          <w:rPr>
            <w:noProof/>
            <w:webHidden/>
          </w:rPr>
          <w:fldChar w:fldCharType="end"/>
        </w:r>
      </w:hyperlink>
    </w:p>
    <w:p w14:paraId="382FDE37" w14:textId="2714624B" w:rsidR="004E0102" w:rsidRDefault="006A61A0">
      <w:pPr>
        <w:pStyle w:val="TOC1"/>
        <w:tabs>
          <w:tab w:val="right" w:leader="dot" w:pos="9350"/>
        </w:tabs>
        <w:rPr>
          <w:rFonts w:asciiTheme="minorHAnsi" w:eastAsiaTheme="minorEastAsia" w:hAnsiTheme="minorHAnsi"/>
          <w:noProof/>
          <w:sz w:val="22"/>
          <w:szCs w:val="22"/>
        </w:rPr>
      </w:pPr>
      <w:hyperlink w:anchor="_Toc498672895" w:history="1">
        <w:r w:rsidR="004E0102" w:rsidRPr="002F017F">
          <w:rPr>
            <w:rStyle w:val="Hyperlink"/>
            <w:noProof/>
          </w:rPr>
          <w:t>Foundation Statement of Activities</w:t>
        </w:r>
        <w:r w:rsidR="004E0102">
          <w:rPr>
            <w:noProof/>
            <w:webHidden/>
          </w:rPr>
          <w:tab/>
        </w:r>
        <w:r w:rsidR="004E0102">
          <w:rPr>
            <w:noProof/>
            <w:webHidden/>
          </w:rPr>
          <w:fldChar w:fldCharType="begin"/>
        </w:r>
        <w:r w:rsidR="004E0102">
          <w:rPr>
            <w:noProof/>
            <w:webHidden/>
          </w:rPr>
          <w:instrText xml:space="preserve"> PAGEREF _Toc498672895 \h </w:instrText>
        </w:r>
        <w:r w:rsidR="004E0102">
          <w:rPr>
            <w:noProof/>
            <w:webHidden/>
          </w:rPr>
        </w:r>
        <w:r w:rsidR="004E0102">
          <w:rPr>
            <w:noProof/>
            <w:webHidden/>
          </w:rPr>
          <w:fldChar w:fldCharType="separate"/>
        </w:r>
        <w:r w:rsidR="00AA1E81">
          <w:rPr>
            <w:noProof/>
            <w:webHidden/>
          </w:rPr>
          <w:t>29</w:t>
        </w:r>
        <w:r w:rsidR="004E0102">
          <w:rPr>
            <w:noProof/>
            <w:webHidden/>
          </w:rPr>
          <w:fldChar w:fldCharType="end"/>
        </w:r>
      </w:hyperlink>
    </w:p>
    <w:p w14:paraId="1F6CB235" w14:textId="2676CD1E" w:rsidR="004E0102" w:rsidRDefault="006A61A0">
      <w:pPr>
        <w:pStyle w:val="TOC1"/>
        <w:tabs>
          <w:tab w:val="right" w:leader="dot" w:pos="9350"/>
        </w:tabs>
        <w:rPr>
          <w:rFonts w:asciiTheme="minorHAnsi" w:eastAsiaTheme="minorEastAsia" w:hAnsiTheme="minorHAnsi"/>
          <w:noProof/>
          <w:sz w:val="22"/>
          <w:szCs w:val="22"/>
        </w:rPr>
      </w:pPr>
      <w:hyperlink w:anchor="_Toc498672896" w:history="1">
        <w:r w:rsidR="004E0102" w:rsidRPr="002F017F">
          <w:rPr>
            <w:rStyle w:val="Hyperlink"/>
            <w:noProof/>
          </w:rPr>
          <w:t>Notes to the Financial Statements</w:t>
        </w:r>
        <w:r w:rsidR="004E0102">
          <w:rPr>
            <w:noProof/>
            <w:webHidden/>
          </w:rPr>
          <w:tab/>
        </w:r>
        <w:r w:rsidR="004E0102">
          <w:rPr>
            <w:noProof/>
            <w:webHidden/>
          </w:rPr>
          <w:fldChar w:fldCharType="begin"/>
        </w:r>
        <w:r w:rsidR="004E0102">
          <w:rPr>
            <w:noProof/>
            <w:webHidden/>
          </w:rPr>
          <w:instrText xml:space="preserve"> PAGEREF _Toc498672896 \h </w:instrText>
        </w:r>
        <w:r w:rsidR="004E0102">
          <w:rPr>
            <w:noProof/>
            <w:webHidden/>
          </w:rPr>
        </w:r>
        <w:r w:rsidR="004E0102">
          <w:rPr>
            <w:noProof/>
            <w:webHidden/>
          </w:rPr>
          <w:fldChar w:fldCharType="separate"/>
        </w:r>
        <w:r w:rsidR="00AA1E81">
          <w:rPr>
            <w:noProof/>
            <w:webHidden/>
          </w:rPr>
          <w:t>30</w:t>
        </w:r>
        <w:r w:rsidR="004E0102">
          <w:rPr>
            <w:noProof/>
            <w:webHidden/>
          </w:rPr>
          <w:fldChar w:fldCharType="end"/>
        </w:r>
      </w:hyperlink>
    </w:p>
    <w:p w14:paraId="27FD6702" w14:textId="76A19E20" w:rsidR="004E0102" w:rsidRDefault="006A61A0">
      <w:pPr>
        <w:pStyle w:val="TOC1"/>
        <w:tabs>
          <w:tab w:val="right" w:leader="dot" w:pos="9350"/>
        </w:tabs>
        <w:rPr>
          <w:rFonts w:asciiTheme="minorHAnsi" w:eastAsiaTheme="minorEastAsia" w:hAnsiTheme="minorHAnsi"/>
          <w:noProof/>
          <w:sz w:val="22"/>
          <w:szCs w:val="22"/>
        </w:rPr>
      </w:pPr>
      <w:hyperlink w:anchor="_Toc498672897" w:history="1">
        <w:r w:rsidR="004E0102" w:rsidRPr="002F017F">
          <w:rPr>
            <w:rStyle w:val="Hyperlink"/>
            <w:noProof/>
          </w:rPr>
          <w:t>Required Supplemental Information</w:t>
        </w:r>
        <w:r w:rsidR="004E0102">
          <w:rPr>
            <w:noProof/>
            <w:webHidden/>
          </w:rPr>
          <w:tab/>
        </w:r>
        <w:r w:rsidR="004E0102">
          <w:rPr>
            <w:noProof/>
            <w:webHidden/>
          </w:rPr>
          <w:fldChar w:fldCharType="begin"/>
        </w:r>
        <w:r w:rsidR="004E0102">
          <w:rPr>
            <w:noProof/>
            <w:webHidden/>
          </w:rPr>
          <w:instrText xml:space="preserve"> PAGEREF _Toc498672897 \h </w:instrText>
        </w:r>
        <w:r w:rsidR="004E0102">
          <w:rPr>
            <w:noProof/>
            <w:webHidden/>
          </w:rPr>
        </w:r>
        <w:r w:rsidR="004E0102">
          <w:rPr>
            <w:noProof/>
            <w:webHidden/>
          </w:rPr>
          <w:fldChar w:fldCharType="separate"/>
        </w:r>
        <w:r w:rsidR="00AA1E81">
          <w:rPr>
            <w:noProof/>
            <w:webHidden/>
          </w:rPr>
          <w:t>60</w:t>
        </w:r>
        <w:r w:rsidR="004E0102">
          <w:rPr>
            <w:noProof/>
            <w:webHidden/>
          </w:rPr>
          <w:fldChar w:fldCharType="end"/>
        </w:r>
      </w:hyperlink>
    </w:p>
    <w:p w14:paraId="11E2D773" w14:textId="338F586B" w:rsidR="009D22CB" w:rsidRDefault="006813FD" w:rsidP="009D22CB">
      <w:r>
        <w:fldChar w:fldCharType="end"/>
      </w:r>
    </w:p>
    <w:p w14:paraId="1D3FD445" w14:textId="77777777" w:rsidR="004E0102" w:rsidRPr="004E0102" w:rsidRDefault="004E0102" w:rsidP="009D22CB"/>
    <w:p w14:paraId="467000BD" w14:textId="77777777" w:rsidR="00D9504D" w:rsidRPr="00C639EE" w:rsidRDefault="00D9504D" w:rsidP="00D9504D">
      <w:r w:rsidRPr="00C639EE">
        <w:t>For information about the financial data included in this report, contact:</w:t>
      </w:r>
    </w:p>
    <w:p w14:paraId="51D921B5" w14:textId="77777777" w:rsidR="00D9504D" w:rsidRPr="00C639EE" w:rsidRDefault="00D9504D" w:rsidP="00D9504D">
      <w:pPr>
        <w:ind w:left="720"/>
      </w:pPr>
    </w:p>
    <w:p w14:paraId="11EF0ECC" w14:textId="180919F2" w:rsidR="00D9504D" w:rsidRPr="00C639EE" w:rsidRDefault="00D9504D" w:rsidP="00D9504D">
      <w:pPr>
        <w:ind w:left="720"/>
        <w:rPr>
          <w:i/>
        </w:rPr>
      </w:pPr>
      <w:r>
        <w:t xml:space="preserve">Kim Cook, </w:t>
      </w:r>
      <w:r w:rsidR="00F0731B">
        <w:t>Director of Business Services/Controller</w:t>
      </w:r>
    </w:p>
    <w:p w14:paraId="1B176D1F" w14:textId="77777777" w:rsidR="00D9504D" w:rsidRPr="00C639EE" w:rsidRDefault="00D9504D" w:rsidP="00D9504D">
      <w:pPr>
        <w:ind w:left="720"/>
      </w:pPr>
      <w:r w:rsidRPr="00C639EE">
        <w:t>Skagit Valley College</w:t>
      </w:r>
    </w:p>
    <w:p w14:paraId="6CC1FCE6" w14:textId="77777777" w:rsidR="00D9504D" w:rsidRPr="00C639EE" w:rsidRDefault="00D9504D" w:rsidP="00D9504D">
      <w:pPr>
        <w:ind w:left="720"/>
      </w:pPr>
      <w:r w:rsidRPr="00C639EE">
        <w:t>2405 East College Way</w:t>
      </w:r>
    </w:p>
    <w:p w14:paraId="690FFE0F" w14:textId="77777777" w:rsidR="00D9504D" w:rsidRPr="00C639EE" w:rsidRDefault="00D9504D" w:rsidP="00D9504D">
      <w:pPr>
        <w:ind w:left="720"/>
      </w:pPr>
      <w:r w:rsidRPr="00C639EE">
        <w:t>Mount Vernon, WA 98273</w:t>
      </w:r>
    </w:p>
    <w:p w14:paraId="2592850E" w14:textId="77777777" w:rsidR="00D9504D" w:rsidRPr="00C639EE" w:rsidRDefault="00D9504D" w:rsidP="00D9504D">
      <w:pPr>
        <w:ind w:left="720"/>
      </w:pPr>
      <w:r w:rsidRPr="00C639EE">
        <w:t>360-416-7744</w:t>
      </w:r>
    </w:p>
    <w:p w14:paraId="01072A61" w14:textId="77777777" w:rsidR="00D9504D" w:rsidRPr="00C639EE" w:rsidRDefault="00D9504D" w:rsidP="00D9504D">
      <w:pPr>
        <w:rPr>
          <w:highlight w:val="yellow"/>
        </w:rPr>
      </w:pPr>
    </w:p>
    <w:p w14:paraId="0AF178E0" w14:textId="77777777" w:rsidR="00D9504D" w:rsidRPr="00C639EE" w:rsidRDefault="00D9504D" w:rsidP="00D9504D">
      <w:pPr>
        <w:rPr>
          <w:i/>
          <w:highlight w:val="yellow"/>
        </w:rPr>
      </w:pPr>
    </w:p>
    <w:p w14:paraId="6CB6CE3D" w14:textId="77777777" w:rsidR="00D9504D" w:rsidRPr="00C639EE" w:rsidRDefault="00D9504D" w:rsidP="00D9504D">
      <w:r w:rsidRPr="00C639EE">
        <w:t>For information about enrollment, degrees awarded, or academic programs, contact:</w:t>
      </w:r>
    </w:p>
    <w:p w14:paraId="3C12ED96" w14:textId="77777777" w:rsidR="00D9504D" w:rsidRPr="00C639EE" w:rsidRDefault="00D9504D" w:rsidP="00D9504D"/>
    <w:p w14:paraId="3D31799F" w14:textId="77777777" w:rsidR="00D9504D" w:rsidRPr="00C639EE" w:rsidRDefault="00D9504D" w:rsidP="00D9504D">
      <w:pPr>
        <w:ind w:left="720"/>
      </w:pPr>
      <w:r w:rsidRPr="00C639EE">
        <w:t>Institutional Planning and Effectiveness</w:t>
      </w:r>
    </w:p>
    <w:p w14:paraId="2E139258" w14:textId="77777777" w:rsidR="00D9504D" w:rsidRPr="00C639EE" w:rsidRDefault="00D9504D" w:rsidP="00D9504D">
      <w:pPr>
        <w:ind w:left="720"/>
      </w:pPr>
      <w:r w:rsidRPr="00C639EE">
        <w:t>Skagit Valley College</w:t>
      </w:r>
    </w:p>
    <w:p w14:paraId="3FE1FBAE" w14:textId="77777777" w:rsidR="00D9504D" w:rsidRPr="00C639EE" w:rsidRDefault="00D9504D" w:rsidP="00D9504D">
      <w:pPr>
        <w:ind w:left="720"/>
      </w:pPr>
      <w:r w:rsidRPr="00C639EE">
        <w:t>2405 East College Way</w:t>
      </w:r>
    </w:p>
    <w:p w14:paraId="5B812783" w14:textId="77777777" w:rsidR="00D9504D" w:rsidRPr="00C639EE" w:rsidRDefault="00D9504D" w:rsidP="00D9504D">
      <w:pPr>
        <w:ind w:left="720"/>
      </w:pPr>
      <w:r w:rsidRPr="00C639EE">
        <w:t>Mount Vernon, WA 98273</w:t>
      </w:r>
    </w:p>
    <w:p w14:paraId="04D5BC9D" w14:textId="77777777" w:rsidR="00D9504D" w:rsidRPr="00C639EE" w:rsidRDefault="00D9504D" w:rsidP="00D9504D">
      <w:pPr>
        <w:ind w:left="720"/>
      </w:pPr>
      <w:r w:rsidRPr="00C639EE">
        <w:t>360-416-7735</w:t>
      </w:r>
    </w:p>
    <w:p w14:paraId="16B1755B" w14:textId="77777777" w:rsidR="00D9504D" w:rsidRPr="00C639EE" w:rsidRDefault="00D9504D" w:rsidP="00D9504D">
      <w:pPr>
        <w:ind w:firstLine="720"/>
      </w:pPr>
      <w:r w:rsidRPr="00C639EE">
        <w:t xml:space="preserve">   or</w:t>
      </w:r>
    </w:p>
    <w:p w14:paraId="30EFDEE1" w14:textId="77777777" w:rsidR="009D412A" w:rsidRPr="00C573F0" w:rsidRDefault="00D9504D" w:rsidP="00D9504D">
      <w:pPr>
        <w:rPr>
          <w:b/>
          <w:bCs/>
          <w:sz w:val="16"/>
          <w:szCs w:val="16"/>
        </w:rPr>
      </w:pPr>
      <w:r w:rsidRPr="00C639EE">
        <w:t>Visit the home page at link at http://www.skagit.edu</w:t>
      </w:r>
      <w:r w:rsidR="009D412A" w:rsidRPr="00C573F0">
        <w:rPr>
          <w:b/>
          <w:bCs/>
          <w:sz w:val="16"/>
          <w:szCs w:val="16"/>
        </w:rPr>
        <w:br w:type="page"/>
      </w:r>
    </w:p>
    <w:p w14:paraId="7D4627C4" w14:textId="77777777" w:rsidR="00113B57" w:rsidRPr="00CC5807" w:rsidRDefault="009D412A" w:rsidP="003F6741">
      <w:pPr>
        <w:pStyle w:val="Heading1"/>
        <w:rPr>
          <w:color w:val="auto"/>
        </w:rPr>
      </w:pPr>
      <w:bookmarkStart w:id="1" w:name="_Toc498672886"/>
      <w:r w:rsidRPr="00CC5807">
        <w:rPr>
          <w:color w:val="auto"/>
        </w:rPr>
        <w:lastRenderedPageBreak/>
        <w:t>Trustees</w:t>
      </w:r>
      <w:r w:rsidR="00D9504D" w:rsidRPr="00CC5807">
        <w:rPr>
          <w:color w:val="auto"/>
        </w:rPr>
        <w:t xml:space="preserve"> and Executive</w:t>
      </w:r>
      <w:r w:rsidR="00113B57" w:rsidRPr="00CC5807">
        <w:rPr>
          <w:color w:val="auto"/>
        </w:rPr>
        <w:t xml:space="preserve"> Officers</w:t>
      </w:r>
      <w:bookmarkEnd w:id="1"/>
    </w:p>
    <w:p w14:paraId="077075BB" w14:textId="77777777" w:rsidR="00D9504D" w:rsidRDefault="00D9504D" w:rsidP="00D9504D">
      <w:pPr>
        <w:rPr>
          <w:sz w:val="28"/>
          <w:szCs w:val="28"/>
          <w:u w:val="single"/>
        </w:rPr>
      </w:pPr>
    </w:p>
    <w:p w14:paraId="00612D3A" w14:textId="77777777" w:rsidR="005D6487" w:rsidRPr="00B23D80" w:rsidRDefault="00D9504D" w:rsidP="00D9504D">
      <w:pPr>
        <w:rPr>
          <w:b/>
          <w:color w:val="A6192E"/>
          <w:sz w:val="28"/>
          <w:szCs w:val="28"/>
          <w:u w:val="single"/>
        </w:rPr>
      </w:pPr>
      <w:r w:rsidRPr="00B23D80">
        <w:rPr>
          <w:b/>
          <w:color w:val="A6192E"/>
          <w:sz w:val="28"/>
          <w:szCs w:val="28"/>
          <w:u w:val="single"/>
        </w:rPr>
        <w:t>BOARD OF TRUSTEES</w:t>
      </w:r>
    </w:p>
    <w:p w14:paraId="2B10B694" w14:textId="77777777" w:rsidR="005D6487" w:rsidRPr="002B69DB" w:rsidRDefault="00D9504D" w:rsidP="00D9504D">
      <w:pPr>
        <w:rPr>
          <w:sz w:val="28"/>
          <w:szCs w:val="28"/>
        </w:rPr>
      </w:pPr>
      <w:r w:rsidRPr="002B69DB">
        <w:rPr>
          <w:sz w:val="28"/>
          <w:szCs w:val="28"/>
        </w:rPr>
        <w:t>Megan Scott O’Bryan, Chair</w:t>
      </w:r>
    </w:p>
    <w:p w14:paraId="3B392190" w14:textId="77777777" w:rsidR="005D6487" w:rsidRPr="002B69DB" w:rsidRDefault="005D6487" w:rsidP="00D9504D">
      <w:pPr>
        <w:rPr>
          <w:sz w:val="28"/>
          <w:szCs w:val="28"/>
        </w:rPr>
      </w:pPr>
      <w:r w:rsidRPr="002B69DB">
        <w:rPr>
          <w:sz w:val="28"/>
          <w:szCs w:val="28"/>
        </w:rPr>
        <w:t>Lindsay Fiker, Vice Chair</w:t>
      </w:r>
    </w:p>
    <w:p w14:paraId="19C9525A" w14:textId="77777777" w:rsidR="00D9504D" w:rsidRPr="002B69DB" w:rsidRDefault="005D6487" w:rsidP="00D9504D">
      <w:pPr>
        <w:rPr>
          <w:sz w:val="28"/>
          <w:szCs w:val="28"/>
        </w:rPr>
      </w:pPr>
      <w:r w:rsidRPr="002B69DB">
        <w:rPr>
          <w:sz w:val="28"/>
          <w:szCs w:val="28"/>
        </w:rPr>
        <w:t>Kathryn Bennett</w:t>
      </w:r>
    </w:p>
    <w:p w14:paraId="5B6913A5" w14:textId="77777777" w:rsidR="00D9504D" w:rsidRPr="002B69DB" w:rsidRDefault="00D9504D" w:rsidP="00D9504D">
      <w:pPr>
        <w:rPr>
          <w:sz w:val="28"/>
          <w:szCs w:val="28"/>
        </w:rPr>
      </w:pPr>
      <w:r w:rsidRPr="002B69DB">
        <w:rPr>
          <w:sz w:val="28"/>
          <w:szCs w:val="28"/>
        </w:rPr>
        <w:t>Christon Skinner</w:t>
      </w:r>
    </w:p>
    <w:p w14:paraId="69238FAF" w14:textId="77777777" w:rsidR="00D9504D" w:rsidRPr="002B69DB" w:rsidRDefault="00D9504D" w:rsidP="00D9504D">
      <w:pPr>
        <w:rPr>
          <w:sz w:val="28"/>
          <w:szCs w:val="28"/>
        </w:rPr>
      </w:pPr>
      <w:r w:rsidRPr="002B69DB">
        <w:rPr>
          <w:sz w:val="28"/>
          <w:szCs w:val="28"/>
        </w:rPr>
        <w:t>John Stephens</w:t>
      </w:r>
    </w:p>
    <w:p w14:paraId="144C1840" w14:textId="77777777" w:rsidR="00D9504D" w:rsidRPr="002B69DB" w:rsidRDefault="00D9504D" w:rsidP="00D9504D">
      <w:pPr>
        <w:rPr>
          <w:sz w:val="28"/>
          <w:szCs w:val="28"/>
        </w:rPr>
      </w:pPr>
      <w:r w:rsidRPr="002B69DB">
        <w:rPr>
          <w:sz w:val="28"/>
          <w:szCs w:val="28"/>
        </w:rPr>
        <w:t>Dr. Thomas A. Keegan, SVC President, Executive Secretary to the Board of Trustees</w:t>
      </w:r>
    </w:p>
    <w:p w14:paraId="464B0366" w14:textId="77777777" w:rsidR="00D9504D" w:rsidRDefault="00D9504D" w:rsidP="00D9504D"/>
    <w:p w14:paraId="46CE4A14" w14:textId="77777777" w:rsidR="00D9504D" w:rsidRPr="00B23D80" w:rsidRDefault="00D9504D" w:rsidP="00D9504D">
      <w:pPr>
        <w:rPr>
          <w:b/>
          <w:color w:val="A6192E"/>
          <w:sz w:val="28"/>
          <w:szCs w:val="28"/>
          <w:u w:val="single"/>
        </w:rPr>
      </w:pPr>
      <w:r w:rsidRPr="00B23D80">
        <w:rPr>
          <w:b/>
          <w:color w:val="A6192E"/>
          <w:sz w:val="28"/>
          <w:szCs w:val="28"/>
          <w:u w:val="single"/>
        </w:rPr>
        <w:t>EXECUTIVE OFFICERS</w:t>
      </w:r>
    </w:p>
    <w:p w14:paraId="72FCBBED" w14:textId="77777777" w:rsidR="00D9504D" w:rsidRPr="002B69DB" w:rsidRDefault="00D9504D" w:rsidP="00D9504D">
      <w:pPr>
        <w:rPr>
          <w:sz w:val="28"/>
          <w:szCs w:val="28"/>
        </w:rPr>
      </w:pPr>
      <w:r w:rsidRPr="002B69DB">
        <w:rPr>
          <w:sz w:val="28"/>
          <w:szCs w:val="28"/>
        </w:rPr>
        <w:t>Dr. Thomas A. Keegan, President</w:t>
      </w:r>
    </w:p>
    <w:p w14:paraId="64C26B0E" w14:textId="77777777" w:rsidR="00D9504D" w:rsidRPr="002B69DB" w:rsidRDefault="00D9504D" w:rsidP="00D9504D">
      <w:pPr>
        <w:rPr>
          <w:sz w:val="28"/>
          <w:szCs w:val="28"/>
        </w:rPr>
      </w:pPr>
      <w:r w:rsidRPr="002B69DB">
        <w:rPr>
          <w:sz w:val="28"/>
          <w:szCs w:val="28"/>
        </w:rPr>
        <w:t>Dr. Kenneth Lawson, Vice President of Instruction</w:t>
      </w:r>
    </w:p>
    <w:p w14:paraId="1191F0F3" w14:textId="77777777" w:rsidR="00D9504D" w:rsidRPr="002B69DB" w:rsidRDefault="00D9504D" w:rsidP="00D9504D">
      <w:pPr>
        <w:rPr>
          <w:sz w:val="28"/>
          <w:szCs w:val="28"/>
        </w:rPr>
      </w:pPr>
      <w:r w:rsidRPr="002B69DB">
        <w:rPr>
          <w:sz w:val="28"/>
          <w:szCs w:val="28"/>
        </w:rPr>
        <w:t>Mrs. Anne Clark, Executive Director of College Advancement &amp; Foundation</w:t>
      </w:r>
    </w:p>
    <w:p w14:paraId="26D54D3B" w14:textId="77777777" w:rsidR="00D9504D" w:rsidRPr="002B69DB" w:rsidRDefault="00D9504D" w:rsidP="00D9504D">
      <w:pPr>
        <w:rPr>
          <w:sz w:val="28"/>
          <w:szCs w:val="28"/>
        </w:rPr>
      </w:pPr>
      <w:r w:rsidRPr="002B69DB">
        <w:rPr>
          <w:sz w:val="28"/>
          <w:szCs w:val="28"/>
        </w:rPr>
        <w:t>Dr. Eduardo Jaramillo, Vice President of Administrative Services</w:t>
      </w:r>
    </w:p>
    <w:p w14:paraId="600097B0" w14:textId="77777777" w:rsidR="00D9504D" w:rsidRPr="002B69DB" w:rsidRDefault="00D9504D" w:rsidP="00D9504D">
      <w:pPr>
        <w:rPr>
          <w:sz w:val="28"/>
          <w:szCs w:val="28"/>
        </w:rPr>
      </w:pPr>
      <w:r w:rsidRPr="002B69DB">
        <w:rPr>
          <w:sz w:val="28"/>
          <w:szCs w:val="28"/>
        </w:rPr>
        <w:t>Dr. Laura Cailloux, Vice President of Whidbey Island Campus, San Juan, South Whidbey and Anacortes Centers</w:t>
      </w:r>
    </w:p>
    <w:p w14:paraId="11C8312D" w14:textId="77777777" w:rsidR="00D9504D" w:rsidRPr="002B69DB" w:rsidRDefault="00D9504D" w:rsidP="00D9504D">
      <w:pPr>
        <w:rPr>
          <w:sz w:val="28"/>
          <w:szCs w:val="28"/>
        </w:rPr>
      </w:pPr>
      <w:r w:rsidRPr="002B69DB">
        <w:rPr>
          <w:sz w:val="28"/>
          <w:szCs w:val="28"/>
        </w:rPr>
        <w:t>Dr. David Paul, Vice President for Student Services</w:t>
      </w:r>
    </w:p>
    <w:p w14:paraId="481356F3" w14:textId="77777777" w:rsidR="00D9504D" w:rsidRPr="002B69DB" w:rsidRDefault="00D9504D" w:rsidP="00D9504D">
      <w:pPr>
        <w:rPr>
          <w:sz w:val="28"/>
          <w:szCs w:val="28"/>
        </w:rPr>
      </w:pPr>
    </w:p>
    <w:p w14:paraId="28FB8CAF" w14:textId="77777777" w:rsidR="00D9504D" w:rsidRPr="002B69DB" w:rsidRDefault="00D9504D" w:rsidP="00D9504D">
      <w:pPr>
        <w:rPr>
          <w:sz w:val="28"/>
          <w:szCs w:val="28"/>
        </w:rPr>
      </w:pPr>
    </w:p>
    <w:p w14:paraId="5550D856" w14:textId="77777777" w:rsidR="00D9504D" w:rsidRPr="002B69DB" w:rsidRDefault="00D9504D" w:rsidP="00D9504D">
      <w:pPr>
        <w:rPr>
          <w:sz w:val="28"/>
          <w:szCs w:val="28"/>
        </w:rPr>
      </w:pPr>
      <w:r w:rsidRPr="002B69DB">
        <w:rPr>
          <w:sz w:val="28"/>
          <w:szCs w:val="28"/>
        </w:rPr>
        <w:t>Trustees and Offic</w:t>
      </w:r>
      <w:r w:rsidR="002B69DB">
        <w:rPr>
          <w:sz w:val="28"/>
          <w:szCs w:val="28"/>
        </w:rPr>
        <w:t>er list effective as of October</w:t>
      </w:r>
      <w:r w:rsidRPr="002B69DB">
        <w:rPr>
          <w:sz w:val="28"/>
          <w:szCs w:val="28"/>
        </w:rPr>
        <w:t xml:space="preserve"> 31, 2017</w:t>
      </w:r>
    </w:p>
    <w:p w14:paraId="19882F04" w14:textId="77777777" w:rsidR="00113B57" w:rsidRPr="002B69DB" w:rsidRDefault="00113B57" w:rsidP="009D22CB">
      <w:pPr>
        <w:rPr>
          <w:sz w:val="28"/>
          <w:szCs w:val="28"/>
        </w:rPr>
      </w:pPr>
    </w:p>
    <w:p w14:paraId="188062C7" w14:textId="77777777" w:rsidR="00113B57" w:rsidRPr="00C13603" w:rsidRDefault="00113B57" w:rsidP="009D22CB">
      <w:pPr>
        <w:rPr>
          <w:highlight w:val="yellow"/>
        </w:rPr>
      </w:pPr>
    </w:p>
    <w:p w14:paraId="105A3A39" w14:textId="77777777" w:rsidR="006813FD" w:rsidRDefault="006813FD">
      <w:pPr>
        <w:rPr>
          <w:rFonts w:asciiTheme="majorHAnsi" w:eastAsiaTheme="majorEastAsia" w:hAnsiTheme="majorHAnsi" w:cstheme="majorBidi"/>
          <w:b/>
          <w:bCs/>
          <w:color w:val="365F91" w:themeColor="accent1" w:themeShade="BF"/>
          <w:sz w:val="28"/>
          <w:szCs w:val="28"/>
        </w:rPr>
      </w:pPr>
      <w:r>
        <w:br w:type="page"/>
      </w:r>
    </w:p>
    <w:p w14:paraId="70784C95" w14:textId="77777777" w:rsidR="002B69DB" w:rsidRPr="00BD71EF" w:rsidRDefault="002B69DB" w:rsidP="002B69DB">
      <w:pPr>
        <w:pStyle w:val="Heading1"/>
      </w:pPr>
      <w:bookmarkStart w:id="2" w:name="_Toc498672887"/>
      <w:r w:rsidRPr="00CC5807">
        <w:rPr>
          <w:color w:val="auto"/>
        </w:rPr>
        <w:lastRenderedPageBreak/>
        <w:t>Independent Auditor’s Report on Financial Statements</w:t>
      </w:r>
      <w:bookmarkEnd w:id="2"/>
    </w:p>
    <w:p w14:paraId="339F3A87" w14:textId="5342FE02" w:rsidR="00F81A76" w:rsidRDefault="00F81A76" w:rsidP="006813FD">
      <w:pPr>
        <w:pStyle w:val="Heading2"/>
      </w:pPr>
    </w:p>
    <w:p w14:paraId="7E952023" w14:textId="77777777" w:rsidR="00113B57" w:rsidRPr="00344123" w:rsidRDefault="00113B57" w:rsidP="00C90D08">
      <w:pPr>
        <w:rPr>
          <w:sz w:val="20"/>
          <w:szCs w:val="20"/>
          <w:highlight w:val="yellow"/>
        </w:rPr>
      </w:pPr>
    </w:p>
    <w:p w14:paraId="39FEC96A" w14:textId="3A0213EC" w:rsidR="00113B57" w:rsidRPr="00344123" w:rsidRDefault="00AD7535" w:rsidP="00C90D08">
      <w:pPr>
        <w:rPr>
          <w:sz w:val="20"/>
          <w:szCs w:val="20"/>
          <w:highlight w:val="yellow"/>
        </w:rPr>
      </w:pPr>
      <w:r w:rsidRPr="00AD7535">
        <w:rPr>
          <w:noProof/>
          <w:sz w:val="20"/>
          <w:szCs w:val="20"/>
          <w:highlight w:val="yellow"/>
        </w:rPr>
        <w:drawing>
          <wp:inline distT="0" distB="0" distL="0" distR="0" wp14:anchorId="665C52EC" wp14:editId="14591EDF">
            <wp:extent cx="4448175" cy="638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8175" cy="638175"/>
                    </a:xfrm>
                    <a:prstGeom prst="rect">
                      <a:avLst/>
                    </a:prstGeom>
                    <a:noFill/>
                    <a:ln>
                      <a:noFill/>
                    </a:ln>
                  </pic:spPr>
                </pic:pic>
              </a:graphicData>
            </a:graphic>
          </wp:inline>
        </w:drawing>
      </w:r>
    </w:p>
    <w:p w14:paraId="7CC32670" w14:textId="77777777" w:rsidR="00AD7535" w:rsidRDefault="00AD7535">
      <w:pPr>
        <w:rPr>
          <w:highlight w:val="yellow"/>
        </w:rPr>
      </w:pPr>
    </w:p>
    <w:p w14:paraId="65A6917E" w14:textId="77777777" w:rsidR="00AD7535" w:rsidRDefault="00AD7535">
      <w:pPr>
        <w:rPr>
          <w:highlight w:val="yellow"/>
        </w:rPr>
      </w:pPr>
    </w:p>
    <w:p w14:paraId="5B410311" w14:textId="77777777" w:rsidR="00AD7535" w:rsidRPr="00AD7535" w:rsidRDefault="00AD7535">
      <w:pPr>
        <w:rPr>
          <w:sz w:val="32"/>
          <w:szCs w:val="32"/>
        </w:rPr>
      </w:pPr>
      <w:r w:rsidRPr="00AD7535">
        <w:rPr>
          <w:sz w:val="32"/>
          <w:szCs w:val="32"/>
        </w:rPr>
        <w:t>Financial Statements Audit Report</w:t>
      </w:r>
    </w:p>
    <w:p w14:paraId="145FA558" w14:textId="1D02DD7F" w:rsidR="00AD7535" w:rsidRDefault="00AD7535">
      <w:pPr>
        <w:rPr>
          <w:color w:val="244061" w:themeColor="accent1" w:themeShade="80"/>
          <w:sz w:val="36"/>
          <w:szCs w:val="36"/>
        </w:rPr>
      </w:pPr>
      <w:r w:rsidRPr="00AD7535">
        <w:rPr>
          <w:color w:val="244061" w:themeColor="accent1" w:themeShade="80"/>
          <w:sz w:val="36"/>
          <w:szCs w:val="36"/>
        </w:rPr>
        <w:t>Skagit Valley College</w:t>
      </w:r>
    </w:p>
    <w:p w14:paraId="73551BC4" w14:textId="77777777" w:rsidR="00AD7535" w:rsidRDefault="00AD7535">
      <w:pPr>
        <w:rPr>
          <w:color w:val="244061" w:themeColor="accent1" w:themeShade="80"/>
          <w:sz w:val="36"/>
          <w:szCs w:val="36"/>
        </w:rPr>
      </w:pPr>
    </w:p>
    <w:p w14:paraId="2317208C" w14:textId="7332C61C" w:rsidR="00AD7535" w:rsidRDefault="00AD7535">
      <w:pPr>
        <w:rPr>
          <w:color w:val="244061" w:themeColor="accent1" w:themeShade="80"/>
          <w:sz w:val="36"/>
          <w:szCs w:val="36"/>
        </w:rPr>
      </w:pPr>
      <w:r w:rsidRPr="00AD7535">
        <w:rPr>
          <w:color w:val="244061" w:themeColor="accent1" w:themeShade="80"/>
          <w:sz w:val="36"/>
          <w:szCs w:val="36"/>
        </w:rPr>
        <w:t>For the period July 1, 2016 through June 30, 2017</w:t>
      </w:r>
    </w:p>
    <w:p w14:paraId="49485587" w14:textId="77777777" w:rsidR="00AD7535" w:rsidRDefault="00AD7535">
      <w:pPr>
        <w:rPr>
          <w:color w:val="244061" w:themeColor="accent1" w:themeShade="80"/>
          <w:sz w:val="36"/>
          <w:szCs w:val="36"/>
        </w:rPr>
      </w:pPr>
    </w:p>
    <w:p w14:paraId="7705FE7F" w14:textId="77777777" w:rsidR="00AD7535" w:rsidRDefault="00AD7535">
      <w:pPr>
        <w:rPr>
          <w:color w:val="244061" w:themeColor="accent1" w:themeShade="80"/>
          <w:sz w:val="36"/>
          <w:szCs w:val="36"/>
        </w:rPr>
      </w:pPr>
    </w:p>
    <w:p w14:paraId="27A68B0E" w14:textId="77777777" w:rsidR="00AD7535" w:rsidRDefault="00AD7535">
      <w:pPr>
        <w:rPr>
          <w:color w:val="244061" w:themeColor="accent1" w:themeShade="80"/>
          <w:sz w:val="36"/>
          <w:szCs w:val="36"/>
        </w:rPr>
      </w:pPr>
    </w:p>
    <w:p w14:paraId="3B31541B" w14:textId="77777777" w:rsidR="00AD7535" w:rsidRDefault="00AD7535">
      <w:pPr>
        <w:rPr>
          <w:color w:val="244061" w:themeColor="accent1" w:themeShade="80"/>
          <w:sz w:val="36"/>
          <w:szCs w:val="36"/>
        </w:rPr>
      </w:pPr>
    </w:p>
    <w:p w14:paraId="6E74563D" w14:textId="77777777" w:rsidR="00AD7535" w:rsidRDefault="00AD7535">
      <w:pPr>
        <w:rPr>
          <w:color w:val="244061" w:themeColor="accent1" w:themeShade="80"/>
          <w:sz w:val="36"/>
          <w:szCs w:val="36"/>
        </w:rPr>
      </w:pPr>
    </w:p>
    <w:p w14:paraId="001D587A" w14:textId="77777777" w:rsidR="00AD7535" w:rsidRDefault="00AD7535">
      <w:pPr>
        <w:rPr>
          <w:color w:val="244061" w:themeColor="accent1" w:themeShade="80"/>
          <w:sz w:val="36"/>
          <w:szCs w:val="36"/>
        </w:rPr>
      </w:pPr>
    </w:p>
    <w:p w14:paraId="00D7EC9B" w14:textId="77777777" w:rsidR="00AD7535" w:rsidRDefault="00AD7535">
      <w:pPr>
        <w:rPr>
          <w:color w:val="244061" w:themeColor="accent1" w:themeShade="80"/>
          <w:sz w:val="36"/>
          <w:szCs w:val="36"/>
        </w:rPr>
      </w:pPr>
    </w:p>
    <w:p w14:paraId="769CB732" w14:textId="77777777" w:rsidR="00AD7535" w:rsidRDefault="00AD7535">
      <w:pPr>
        <w:rPr>
          <w:color w:val="244061" w:themeColor="accent1" w:themeShade="80"/>
          <w:sz w:val="36"/>
          <w:szCs w:val="36"/>
        </w:rPr>
      </w:pPr>
    </w:p>
    <w:p w14:paraId="752CECEA" w14:textId="77777777" w:rsidR="00AD7535" w:rsidRDefault="00AD7535">
      <w:pPr>
        <w:rPr>
          <w:color w:val="244061" w:themeColor="accent1" w:themeShade="80"/>
          <w:sz w:val="36"/>
          <w:szCs w:val="36"/>
        </w:rPr>
      </w:pPr>
    </w:p>
    <w:p w14:paraId="5789B3E2" w14:textId="77777777" w:rsidR="00AD7535" w:rsidRDefault="00AD7535">
      <w:pPr>
        <w:rPr>
          <w:color w:val="244061" w:themeColor="accent1" w:themeShade="80"/>
          <w:sz w:val="36"/>
          <w:szCs w:val="36"/>
        </w:rPr>
      </w:pPr>
    </w:p>
    <w:p w14:paraId="58C6CE13" w14:textId="77777777" w:rsidR="00AD7535" w:rsidRDefault="00AD7535">
      <w:pPr>
        <w:rPr>
          <w:color w:val="244061" w:themeColor="accent1" w:themeShade="80"/>
          <w:sz w:val="36"/>
          <w:szCs w:val="36"/>
        </w:rPr>
      </w:pPr>
    </w:p>
    <w:p w14:paraId="1E158745" w14:textId="77777777" w:rsidR="00AD7535" w:rsidRDefault="00AD7535">
      <w:pPr>
        <w:rPr>
          <w:color w:val="244061" w:themeColor="accent1" w:themeShade="80"/>
          <w:sz w:val="36"/>
          <w:szCs w:val="36"/>
        </w:rPr>
      </w:pPr>
    </w:p>
    <w:p w14:paraId="3AF31924" w14:textId="77777777" w:rsidR="00AD7535" w:rsidRDefault="00AD7535">
      <w:pPr>
        <w:rPr>
          <w:color w:val="244061" w:themeColor="accent1" w:themeShade="80"/>
          <w:sz w:val="36"/>
          <w:szCs w:val="36"/>
        </w:rPr>
      </w:pPr>
    </w:p>
    <w:p w14:paraId="1B1840F6" w14:textId="4451008B" w:rsidR="00AD7535" w:rsidRDefault="00AD7535">
      <w:pPr>
        <w:rPr>
          <w:color w:val="244061" w:themeColor="accent1" w:themeShade="80"/>
          <w:sz w:val="36"/>
          <w:szCs w:val="36"/>
        </w:rPr>
      </w:pPr>
      <w:r w:rsidRPr="00AD7535">
        <w:rPr>
          <w:color w:val="244061" w:themeColor="accent1" w:themeShade="80"/>
          <w:sz w:val="36"/>
          <w:szCs w:val="36"/>
        </w:rPr>
        <w:t>Published J</w:t>
      </w:r>
      <w:r w:rsidR="007D6EE6">
        <w:rPr>
          <w:color w:val="244061" w:themeColor="accent1" w:themeShade="80"/>
          <w:sz w:val="36"/>
          <w:szCs w:val="36"/>
        </w:rPr>
        <w:t>a</w:t>
      </w:r>
      <w:r w:rsidRPr="00AD7535">
        <w:rPr>
          <w:color w:val="244061" w:themeColor="accent1" w:themeShade="80"/>
          <w:sz w:val="36"/>
          <w:szCs w:val="36"/>
        </w:rPr>
        <w:t>nuary 16, 2018 Report No. 1020612</w:t>
      </w:r>
    </w:p>
    <w:p w14:paraId="02E9879D" w14:textId="1537A9D3" w:rsidR="007D6EE6" w:rsidRDefault="007D6EE6" w:rsidP="007D6EE6">
      <w:pPr>
        <w:jc w:val="right"/>
        <w:rPr>
          <w:color w:val="244061" w:themeColor="accent1" w:themeShade="80"/>
          <w:sz w:val="36"/>
          <w:szCs w:val="36"/>
        </w:rPr>
      </w:pPr>
      <w:r w:rsidRPr="007D6EE6">
        <w:rPr>
          <w:noProof/>
          <w:color w:val="244061" w:themeColor="accent1" w:themeShade="80"/>
          <w:sz w:val="36"/>
          <w:szCs w:val="36"/>
        </w:rPr>
        <w:drawing>
          <wp:inline distT="0" distB="0" distL="0" distR="0" wp14:anchorId="11742476" wp14:editId="3B7F1439">
            <wp:extent cx="828675" cy="819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p w14:paraId="0C80F0C4" w14:textId="6D1D2B26" w:rsidR="00AD7535" w:rsidRDefault="00B50FF6" w:rsidP="00B50FF6">
      <w:pPr>
        <w:jc w:val="center"/>
        <w:rPr>
          <w:color w:val="244061" w:themeColor="accent1" w:themeShade="80"/>
          <w:sz w:val="36"/>
          <w:szCs w:val="36"/>
        </w:rPr>
      </w:pPr>
      <w:r w:rsidRPr="00B50FF6">
        <w:rPr>
          <w:noProof/>
          <w:color w:val="244061" w:themeColor="accent1" w:themeShade="80"/>
          <w:sz w:val="36"/>
          <w:szCs w:val="36"/>
        </w:rPr>
        <w:lastRenderedPageBreak/>
        <w:drawing>
          <wp:inline distT="0" distB="0" distL="0" distR="0" wp14:anchorId="1D36C723" wp14:editId="51759D3A">
            <wp:extent cx="1000125" cy="96012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1451" cy="961393"/>
                    </a:xfrm>
                    <a:prstGeom prst="rect">
                      <a:avLst/>
                    </a:prstGeom>
                    <a:noFill/>
                    <a:ln>
                      <a:noFill/>
                    </a:ln>
                  </pic:spPr>
                </pic:pic>
              </a:graphicData>
            </a:graphic>
          </wp:inline>
        </w:drawing>
      </w:r>
    </w:p>
    <w:p w14:paraId="281D9DA7" w14:textId="77777777" w:rsidR="00B50FF6" w:rsidRDefault="00B50FF6" w:rsidP="00B50FF6">
      <w:pPr>
        <w:jc w:val="center"/>
        <w:rPr>
          <w:color w:val="244061" w:themeColor="accent1" w:themeShade="80"/>
          <w:sz w:val="36"/>
          <w:szCs w:val="36"/>
        </w:rPr>
      </w:pPr>
    </w:p>
    <w:p w14:paraId="2D965334" w14:textId="77777777" w:rsidR="00B50FF6" w:rsidRDefault="00B50FF6" w:rsidP="00B50FF6">
      <w:pPr>
        <w:jc w:val="center"/>
        <w:rPr>
          <w:color w:val="244061" w:themeColor="accent1" w:themeShade="80"/>
          <w:sz w:val="36"/>
          <w:szCs w:val="36"/>
        </w:rPr>
      </w:pPr>
      <w:r w:rsidRPr="00B50FF6">
        <w:rPr>
          <w:color w:val="244061" w:themeColor="accent1" w:themeShade="80"/>
          <w:sz w:val="36"/>
          <w:szCs w:val="36"/>
        </w:rPr>
        <w:t>Office of the Washing ton State Auditor</w:t>
      </w:r>
    </w:p>
    <w:p w14:paraId="1335D282" w14:textId="7B02BA45" w:rsidR="00B50FF6" w:rsidRDefault="00B50FF6" w:rsidP="00B50FF6">
      <w:pPr>
        <w:jc w:val="center"/>
        <w:rPr>
          <w:color w:val="244061" w:themeColor="accent1" w:themeShade="80"/>
          <w:sz w:val="36"/>
          <w:szCs w:val="36"/>
        </w:rPr>
      </w:pPr>
      <w:r w:rsidRPr="00B50FF6">
        <w:rPr>
          <w:color w:val="244061" w:themeColor="accent1" w:themeShade="80"/>
          <w:sz w:val="36"/>
          <w:szCs w:val="36"/>
        </w:rPr>
        <w:t xml:space="preserve"> Pat McCarthy</w:t>
      </w:r>
    </w:p>
    <w:p w14:paraId="32B0D4BD" w14:textId="77777777" w:rsidR="00B50FF6" w:rsidRDefault="00B50FF6" w:rsidP="00B50FF6">
      <w:pPr>
        <w:jc w:val="center"/>
        <w:rPr>
          <w:color w:val="244061" w:themeColor="accent1" w:themeShade="80"/>
          <w:sz w:val="36"/>
          <w:szCs w:val="36"/>
        </w:rPr>
      </w:pPr>
    </w:p>
    <w:p w14:paraId="44DE3140" w14:textId="1415EDA5" w:rsidR="00B50FF6" w:rsidRPr="00B50FF6" w:rsidRDefault="00B50FF6" w:rsidP="00B50FF6">
      <w:pPr>
        <w:rPr>
          <w:color w:val="244061" w:themeColor="accent1" w:themeShade="80"/>
        </w:rPr>
      </w:pPr>
      <w:r w:rsidRPr="00B50FF6">
        <w:rPr>
          <w:color w:val="244061" w:themeColor="accent1" w:themeShade="80"/>
        </w:rPr>
        <w:t>January 16, 2018</w:t>
      </w:r>
    </w:p>
    <w:p w14:paraId="284A85BF" w14:textId="77777777" w:rsidR="00B50FF6" w:rsidRPr="00B50FF6" w:rsidRDefault="00B50FF6" w:rsidP="00B50FF6">
      <w:pPr>
        <w:rPr>
          <w:color w:val="244061" w:themeColor="accent1" w:themeShade="80"/>
        </w:rPr>
      </w:pPr>
    </w:p>
    <w:p w14:paraId="079A9CD4" w14:textId="77777777" w:rsidR="00B50FF6" w:rsidRPr="00B50FF6" w:rsidRDefault="00B50FF6" w:rsidP="00B50FF6">
      <w:pPr>
        <w:rPr>
          <w:color w:val="244061" w:themeColor="accent1" w:themeShade="80"/>
        </w:rPr>
      </w:pPr>
      <w:r w:rsidRPr="00B50FF6">
        <w:rPr>
          <w:color w:val="244061" w:themeColor="accent1" w:themeShade="80"/>
        </w:rPr>
        <w:t xml:space="preserve">Board of Trustees </w:t>
      </w:r>
    </w:p>
    <w:p w14:paraId="16766227" w14:textId="77777777" w:rsidR="00B50FF6" w:rsidRPr="00B50FF6" w:rsidRDefault="00B50FF6" w:rsidP="00B50FF6">
      <w:pPr>
        <w:rPr>
          <w:color w:val="244061" w:themeColor="accent1" w:themeShade="80"/>
        </w:rPr>
      </w:pPr>
      <w:r w:rsidRPr="00B50FF6">
        <w:rPr>
          <w:color w:val="244061" w:themeColor="accent1" w:themeShade="80"/>
        </w:rPr>
        <w:t>Skagit Valley College</w:t>
      </w:r>
    </w:p>
    <w:p w14:paraId="4DF9A9B5" w14:textId="5B12C29E" w:rsidR="00B50FF6" w:rsidRPr="00B50FF6" w:rsidRDefault="00B50FF6" w:rsidP="00B50FF6">
      <w:pPr>
        <w:rPr>
          <w:color w:val="244061" w:themeColor="accent1" w:themeShade="80"/>
        </w:rPr>
      </w:pPr>
      <w:r w:rsidRPr="00B50FF6">
        <w:rPr>
          <w:color w:val="244061" w:themeColor="accent1" w:themeShade="80"/>
        </w:rPr>
        <w:t>Mount Vernon, Washington</w:t>
      </w:r>
    </w:p>
    <w:p w14:paraId="79C11072" w14:textId="77777777" w:rsidR="00B50FF6" w:rsidRPr="00B50FF6" w:rsidRDefault="00B50FF6" w:rsidP="00B50FF6">
      <w:pPr>
        <w:rPr>
          <w:color w:val="244061" w:themeColor="accent1" w:themeShade="80"/>
        </w:rPr>
      </w:pPr>
    </w:p>
    <w:p w14:paraId="7EA0D893" w14:textId="50A70F78" w:rsidR="00B50FF6" w:rsidRPr="00B50FF6" w:rsidRDefault="00B50FF6" w:rsidP="00B50FF6">
      <w:pPr>
        <w:rPr>
          <w:color w:val="244061" w:themeColor="accent1" w:themeShade="80"/>
        </w:rPr>
      </w:pPr>
      <w:r w:rsidRPr="00B50FF6">
        <w:rPr>
          <w:color w:val="244061" w:themeColor="accent1" w:themeShade="80"/>
        </w:rPr>
        <w:t>Report on Financial Statements</w:t>
      </w:r>
    </w:p>
    <w:p w14:paraId="34095C24" w14:textId="77777777" w:rsidR="00B50FF6" w:rsidRDefault="00B50FF6" w:rsidP="00B50FF6">
      <w:pPr>
        <w:rPr>
          <w:color w:val="244061" w:themeColor="accent1" w:themeShade="80"/>
          <w:sz w:val="36"/>
          <w:szCs w:val="36"/>
        </w:rPr>
      </w:pPr>
    </w:p>
    <w:p w14:paraId="24DBCDFB" w14:textId="77777777" w:rsidR="00B50FF6" w:rsidRPr="00B50FF6" w:rsidRDefault="00B50FF6" w:rsidP="00B50FF6">
      <w:r w:rsidRPr="00B50FF6">
        <w:t xml:space="preserve">Please find attached our report on the Skagit Valley College’s financial statements. </w:t>
      </w:r>
    </w:p>
    <w:p w14:paraId="0A2AE3D8" w14:textId="77777777" w:rsidR="00B50FF6" w:rsidRPr="00B50FF6" w:rsidRDefault="00B50FF6" w:rsidP="00B50FF6"/>
    <w:p w14:paraId="662099FB" w14:textId="1F79E2D6" w:rsidR="00B50FF6" w:rsidRDefault="00B50FF6" w:rsidP="00B50FF6">
      <w:r w:rsidRPr="00B50FF6">
        <w:t>We are issuing this report in order to provide information on the College’s financial condition.</w:t>
      </w:r>
    </w:p>
    <w:p w14:paraId="34A9426B" w14:textId="77777777" w:rsidR="00B50FF6" w:rsidRDefault="00B50FF6" w:rsidP="00B50FF6"/>
    <w:p w14:paraId="5C65CFF9" w14:textId="4792051C" w:rsidR="00B50FF6" w:rsidRDefault="00B50FF6" w:rsidP="00B50FF6">
      <w:r w:rsidRPr="00B50FF6">
        <w:t>Sincerely</w:t>
      </w:r>
      <w:r>
        <w:t>,</w:t>
      </w:r>
    </w:p>
    <w:p w14:paraId="47DAD5F8" w14:textId="3FC636BC" w:rsidR="00B50FF6" w:rsidRDefault="00B50FF6" w:rsidP="00B50FF6">
      <w:r w:rsidRPr="00B50FF6">
        <w:rPr>
          <w:noProof/>
        </w:rPr>
        <w:drawing>
          <wp:inline distT="0" distB="0" distL="0" distR="0" wp14:anchorId="53BFDE76" wp14:editId="7C540EBC">
            <wp:extent cx="1171575" cy="438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1575" cy="438150"/>
                    </a:xfrm>
                    <a:prstGeom prst="rect">
                      <a:avLst/>
                    </a:prstGeom>
                    <a:noFill/>
                    <a:ln>
                      <a:noFill/>
                    </a:ln>
                  </pic:spPr>
                </pic:pic>
              </a:graphicData>
            </a:graphic>
          </wp:inline>
        </w:drawing>
      </w:r>
    </w:p>
    <w:p w14:paraId="3031A61D" w14:textId="77777777" w:rsidR="00B50FF6" w:rsidRDefault="00B50FF6" w:rsidP="00B50FF6">
      <w:r w:rsidRPr="00B50FF6">
        <w:t>Pat McCarthy</w:t>
      </w:r>
    </w:p>
    <w:p w14:paraId="68EA0FAB" w14:textId="77777777" w:rsidR="00B50FF6" w:rsidRDefault="00B50FF6" w:rsidP="00B50FF6">
      <w:r w:rsidRPr="00B50FF6">
        <w:t>State Auditor</w:t>
      </w:r>
    </w:p>
    <w:p w14:paraId="322EAEA1" w14:textId="76680F80" w:rsidR="00B50FF6" w:rsidRDefault="00B50FF6" w:rsidP="00B50FF6">
      <w:r w:rsidRPr="00B50FF6">
        <w:t xml:space="preserve"> Olympia, WA</w:t>
      </w:r>
    </w:p>
    <w:p w14:paraId="11278F6C" w14:textId="77777777" w:rsidR="00B50FF6" w:rsidRDefault="00B50FF6" w:rsidP="00B50FF6"/>
    <w:p w14:paraId="35B5E7B2" w14:textId="77777777" w:rsidR="00B50FF6" w:rsidRDefault="00B50FF6" w:rsidP="00B50FF6"/>
    <w:p w14:paraId="1E8659C1" w14:textId="77777777" w:rsidR="00B50FF6" w:rsidRDefault="00B50FF6" w:rsidP="00B50FF6"/>
    <w:p w14:paraId="232DFC89" w14:textId="77777777" w:rsidR="00B50FF6" w:rsidRDefault="00B50FF6" w:rsidP="00B50FF6"/>
    <w:p w14:paraId="363DC8D2" w14:textId="77777777" w:rsidR="00B50FF6" w:rsidRDefault="00B50FF6" w:rsidP="00B50FF6"/>
    <w:p w14:paraId="7B4DEAD7" w14:textId="77777777" w:rsidR="00B50FF6" w:rsidRDefault="00B50FF6" w:rsidP="00B50FF6"/>
    <w:p w14:paraId="7737300A" w14:textId="77777777" w:rsidR="00B50FF6" w:rsidRDefault="00B50FF6" w:rsidP="00B50FF6"/>
    <w:p w14:paraId="1B3AEC3E" w14:textId="77777777" w:rsidR="00B50FF6" w:rsidRDefault="00B50FF6" w:rsidP="00B50FF6"/>
    <w:p w14:paraId="3E85BCB2" w14:textId="77777777" w:rsidR="00B50FF6" w:rsidRDefault="00B50FF6" w:rsidP="00B50FF6"/>
    <w:p w14:paraId="6F0C7AEF" w14:textId="5036092A" w:rsidR="00B50FF6" w:rsidRDefault="00B50FF6" w:rsidP="00B50FF6">
      <w:r w:rsidRPr="00B50FF6">
        <w:t xml:space="preserve">Insurance Building, P.O. Box 40021 </w:t>
      </w:r>
      <w:r w:rsidRPr="00B50FF6">
        <w:t xml:space="preserve"> Olympia, Washington 98504-0021 </w:t>
      </w:r>
      <w:r w:rsidRPr="00B50FF6">
        <w:t xml:space="preserve"> (360) 902-0370 </w:t>
      </w:r>
      <w:r w:rsidRPr="00B50FF6">
        <w:t> Pat.McCarthy@sao.wa.gov</w:t>
      </w:r>
    </w:p>
    <w:p w14:paraId="4CD524E6" w14:textId="15D8313A" w:rsidR="00B50FF6" w:rsidRDefault="00B50FF6" w:rsidP="00B50FF6">
      <w:pPr>
        <w:jc w:val="center"/>
        <w:rPr>
          <w:sz w:val="32"/>
          <w:szCs w:val="32"/>
        </w:rPr>
      </w:pPr>
      <w:r w:rsidRPr="00B50FF6">
        <w:rPr>
          <w:sz w:val="32"/>
          <w:szCs w:val="32"/>
        </w:rPr>
        <w:lastRenderedPageBreak/>
        <w:t>TABLE OF CONTENTS</w:t>
      </w:r>
    </w:p>
    <w:p w14:paraId="76CCC02F" w14:textId="77777777" w:rsidR="00EA3E1E" w:rsidRDefault="00EA3E1E" w:rsidP="00B50FF6">
      <w:pPr>
        <w:jc w:val="center"/>
        <w:rPr>
          <w:sz w:val="32"/>
          <w:szCs w:val="32"/>
        </w:rPr>
      </w:pPr>
    </w:p>
    <w:p w14:paraId="27F5D060" w14:textId="77777777" w:rsidR="00EA3E1E" w:rsidRDefault="00EA3E1E" w:rsidP="00B50FF6">
      <w:pPr>
        <w:jc w:val="center"/>
        <w:rPr>
          <w:sz w:val="32"/>
          <w:szCs w:val="32"/>
        </w:rPr>
      </w:pPr>
    </w:p>
    <w:p w14:paraId="391AF266" w14:textId="77777777" w:rsidR="00B50FF6" w:rsidRDefault="00B50FF6" w:rsidP="00B50FF6">
      <w:pPr>
        <w:jc w:val="center"/>
        <w:rPr>
          <w:sz w:val="32"/>
          <w:szCs w:val="32"/>
        </w:rPr>
      </w:pPr>
    </w:p>
    <w:p w14:paraId="59D1FDC2" w14:textId="42F26CE2" w:rsidR="00B50FF6" w:rsidRPr="00B50FF6" w:rsidRDefault="00B50FF6" w:rsidP="00B50FF6">
      <w:r w:rsidRPr="00B50FF6">
        <w:t>Independent Auditor’s Report On Internal Control Over Financial Reporting And On Compliance And Other Matters Based On An Audit Of Financial Statements Performed In</w:t>
      </w:r>
    </w:p>
    <w:p w14:paraId="27F571FC" w14:textId="317D8349" w:rsidR="00B50FF6" w:rsidRDefault="00B50FF6" w:rsidP="00B50FF6">
      <w:r w:rsidRPr="00B50FF6">
        <w:t>Accordance With Government Auditing Standards ................................</w:t>
      </w:r>
      <w:r>
        <w:t>...............................</w:t>
      </w:r>
      <w:r w:rsidRPr="00B50FF6">
        <w:t>....... 4</w:t>
      </w:r>
    </w:p>
    <w:p w14:paraId="5E2A4C38" w14:textId="77777777" w:rsidR="00EA3E1E" w:rsidRDefault="00EA3E1E" w:rsidP="00B50FF6"/>
    <w:p w14:paraId="09499765" w14:textId="77777777" w:rsidR="00F866BC" w:rsidRDefault="00F866BC" w:rsidP="00B50FF6"/>
    <w:p w14:paraId="6741C22C" w14:textId="568AC462" w:rsidR="00F866BC" w:rsidRDefault="00F866BC" w:rsidP="00B50FF6">
      <w:r>
        <w:t>I</w:t>
      </w:r>
      <w:r w:rsidRPr="00F866BC">
        <w:t>ndependent Auditor’s Report On Financial Statements ..................................</w:t>
      </w:r>
      <w:r>
        <w:t>..</w:t>
      </w:r>
      <w:r w:rsidRPr="00F866BC">
        <w:t>........................... 7</w:t>
      </w:r>
    </w:p>
    <w:p w14:paraId="17BADD69" w14:textId="77777777" w:rsidR="00EA3E1E" w:rsidRDefault="00EA3E1E" w:rsidP="00B50FF6"/>
    <w:p w14:paraId="53E2BF23" w14:textId="1BAC51A0" w:rsidR="00E00DF4" w:rsidRPr="00B50FF6" w:rsidRDefault="00E00DF4" w:rsidP="00B50FF6"/>
    <w:p w14:paraId="0E228FA4" w14:textId="77777777" w:rsidR="00B50FF6" w:rsidRDefault="00B50FF6" w:rsidP="00B50FF6"/>
    <w:p w14:paraId="65F71193" w14:textId="77777777" w:rsidR="00B50FF6" w:rsidRDefault="00B50FF6" w:rsidP="00B50FF6"/>
    <w:p w14:paraId="526A2CF6" w14:textId="77777777" w:rsidR="00B50FF6" w:rsidRDefault="00B50FF6" w:rsidP="00B50FF6"/>
    <w:p w14:paraId="4E4BBD2C" w14:textId="77777777" w:rsidR="00B50FF6" w:rsidRDefault="00B50FF6" w:rsidP="00B50FF6"/>
    <w:p w14:paraId="0E55A31E" w14:textId="77777777" w:rsidR="00FC0DE1" w:rsidRDefault="00FC0DE1" w:rsidP="00B50FF6"/>
    <w:p w14:paraId="065F5B84" w14:textId="77777777" w:rsidR="00FC0DE1" w:rsidRDefault="00FC0DE1" w:rsidP="00B50FF6"/>
    <w:p w14:paraId="1346917A" w14:textId="77777777" w:rsidR="00FC0DE1" w:rsidRDefault="00FC0DE1" w:rsidP="00B50FF6"/>
    <w:p w14:paraId="1547A37B" w14:textId="77777777" w:rsidR="00FC0DE1" w:rsidRDefault="00FC0DE1" w:rsidP="00B50FF6"/>
    <w:p w14:paraId="785754F6" w14:textId="77777777" w:rsidR="00FC0DE1" w:rsidRDefault="00FC0DE1" w:rsidP="00B50FF6"/>
    <w:p w14:paraId="496352CF" w14:textId="77777777" w:rsidR="00FC0DE1" w:rsidRDefault="00FC0DE1" w:rsidP="00B50FF6"/>
    <w:p w14:paraId="026CA958" w14:textId="77777777" w:rsidR="00FC0DE1" w:rsidRDefault="00FC0DE1" w:rsidP="00B50FF6"/>
    <w:p w14:paraId="1DA935CA" w14:textId="77777777" w:rsidR="00FC0DE1" w:rsidRDefault="00FC0DE1" w:rsidP="00B50FF6"/>
    <w:p w14:paraId="7F814F49" w14:textId="77777777" w:rsidR="00FC0DE1" w:rsidRDefault="00FC0DE1" w:rsidP="00B50FF6"/>
    <w:p w14:paraId="1ECBB09D" w14:textId="77777777" w:rsidR="00FC0DE1" w:rsidRDefault="00FC0DE1" w:rsidP="00B50FF6"/>
    <w:p w14:paraId="07432BB7" w14:textId="77777777" w:rsidR="00FC0DE1" w:rsidRDefault="00FC0DE1" w:rsidP="00B50FF6"/>
    <w:p w14:paraId="36F0B331" w14:textId="77777777" w:rsidR="00FC0DE1" w:rsidRDefault="00FC0DE1" w:rsidP="00B50FF6"/>
    <w:p w14:paraId="4B1742FB" w14:textId="77777777" w:rsidR="00FC0DE1" w:rsidRDefault="00FC0DE1" w:rsidP="00B50FF6"/>
    <w:p w14:paraId="56716B67" w14:textId="77777777" w:rsidR="00FC0DE1" w:rsidRDefault="00FC0DE1" w:rsidP="00B50FF6"/>
    <w:p w14:paraId="58322E8D" w14:textId="77777777" w:rsidR="00FC0DE1" w:rsidRDefault="00FC0DE1" w:rsidP="00B50FF6"/>
    <w:p w14:paraId="1830B2CA" w14:textId="77777777" w:rsidR="00FC0DE1" w:rsidRDefault="00FC0DE1" w:rsidP="00B50FF6"/>
    <w:p w14:paraId="1F47A183" w14:textId="77777777" w:rsidR="00FC0DE1" w:rsidRDefault="00FC0DE1" w:rsidP="00B50FF6"/>
    <w:p w14:paraId="1A0BE5ED" w14:textId="77777777" w:rsidR="00FC0DE1" w:rsidRDefault="00FC0DE1" w:rsidP="00B50FF6"/>
    <w:p w14:paraId="55806593" w14:textId="77777777" w:rsidR="00FC0DE1" w:rsidRDefault="00FC0DE1" w:rsidP="00B50FF6"/>
    <w:p w14:paraId="39C5A63F" w14:textId="77777777" w:rsidR="00FC0DE1" w:rsidRDefault="00FC0DE1" w:rsidP="00B50FF6"/>
    <w:p w14:paraId="6E87A3AA" w14:textId="77777777" w:rsidR="00FC0DE1" w:rsidRDefault="00FC0DE1" w:rsidP="00B50FF6"/>
    <w:p w14:paraId="649E965C" w14:textId="77777777" w:rsidR="00FC0DE1" w:rsidRDefault="00FC0DE1" w:rsidP="00B50FF6"/>
    <w:p w14:paraId="32FB2CF3" w14:textId="77777777" w:rsidR="00FC0DE1" w:rsidRDefault="00FC0DE1" w:rsidP="00B50FF6"/>
    <w:p w14:paraId="6BEBD40B" w14:textId="56CF7ACE" w:rsidR="00B50FF6" w:rsidRDefault="00FC0DE1" w:rsidP="007757D6">
      <w:pPr>
        <w:rPr>
          <w:i/>
          <w:sz w:val="20"/>
          <w:szCs w:val="20"/>
        </w:rPr>
      </w:pPr>
      <w:r>
        <w:rPr>
          <w:i/>
          <w:sz w:val="20"/>
          <w:szCs w:val="20"/>
        </w:rPr>
        <w:t>Washington State Auditor’s Office</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sidR="007757D6">
        <w:rPr>
          <w:i/>
          <w:sz w:val="20"/>
          <w:szCs w:val="20"/>
        </w:rPr>
        <w:t xml:space="preserve">  </w:t>
      </w:r>
      <w:r>
        <w:rPr>
          <w:i/>
          <w:sz w:val="20"/>
          <w:szCs w:val="20"/>
        </w:rPr>
        <w:t>Page 3</w:t>
      </w:r>
    </w:p>
    <w:p w14:paraId="2C6EE9AC" w14:textId="4C3D6DD5" w:rsidR="00930056" w:rsidRDefault="00930056" w:rsidP="00930056">
      <w:pPr>
        <w:jc w:val="center"/>
        <w:rPr>
          <w:sz w:val="28"/>
          <w:szCs w:val="28"/>
        </w:rPr>
      </w:pPr>
      <w:r w:rsidRPr="00930056">
        <w:rPr>
          <w:sz w:val="28"/>
          <w:szCs w:val="28"/>
        </w:rPr>
        <w:lastRenderedPageBreak/>
        <w:t xml:space="preserve">INDEPENDENT AUDITOR’S REPORT ON INTERNAL CONTROL OVER FINANCIAL REPORTING AND ON COMPLIANCE AND OTHER MATTERS BASED ON AN AUDIT OF FINANCIAL STATEMENTS PERFORMED IN ACCORDANCE WITH </w:t>
      </w:r>
      <w:r w:rsidRPr="00EA3E1E">
        <w:rPr>
          <w:i/>
          <w:sz w:val="28"/>
          <w:szCs w:val="28"/>
        </w:rPr>
        <w:t>GOVERNMENT AUDITING STANDARDS</w:t>
      </w:r>
    </w:p>
    <w:p w14:paraId="1B6E60F4" w14:textId="77777777" w:rsidR="00930056" w:rsidRPr="00DB45F6" w:rsidRDefault="00930056" w:rsidP="00930056">
      <w:pPr>
        <w:jc w:val="center"/>
      </w:pPr>
      <w:r w:rsidRPr="00DB45F6">
        <w:t xml:space="preserve">Skagit Valley College </w:t>
      </w:r>
    </w:p>
    <w:p w14:paraId="33E17743" w14:textId="748A3EF0" w:rsidR="00930056" w:rsidRPr="00DB45F6" w:rsidRDefault="00930056" w:rsidP="00930056">
      <w:pPr>
        <w:jc w:val="center"/>
      </w:pPr>
      <w:r w:rsidRPr="00DB45F6">
        <w:t>July 1, 2016 through June 30, 2017</w:t>
      </w:r>
    </w:p>
    <w:p w14:paraId="769D7645" w14:textId="77777777" w:rsidR="00930056" w:rsidRPr="00EC38CE" w:rsidRDefault="00930056" w:rsidP="00930056">
      <w:pPr>
        <w:jc w:val="center"/>
      </w:pPr>
    </w:p>
    <w:p w14:paraId="3F3E7143" w14:textId="77777777" w:rsidR="00930056" w:rsidRPr="00EC38CE" w:rsidRDefault="00930056" w:rsidP="00930056">
      <w:r w:rsidRPr="00EC38CE">
        <w:t xml:space="preserve">Board of Trustees </w:t>
      </w:r>
    </w:p>
    <w:p w14:paraId="69233E35" w14:textId="77777777" w:rsidR="00930056" w:rsidRPr="00EC38CE" w:rsidRDefault="00930056" w:rsidP="00930056">
      <w:r w:rsidRPr="00EC38CE">
        <w:t>Skagit Valley College</w:t>
      </w:r>
    </w:p>
    <w:p w14:paraId="11CF234A" w14:textId="5F2B699C" w:rsidR="00930056" w:rsidRPr="00EC38CE" w:rsidRDefault="00930056" w:rsidP="00930056">
      <w:r w:rsidRPr="00EC38CE">
        <w:t>Mount Vernon, Washington</w:t>
      </w:r>
    </w:p>
    <w:p w14:paraId="1F7F5E04" w14:textId="77777777" w:rsidR="00930056" w:rsidRPr="00EC38CE" w:rsidRDefault="00930056" w:rsidP="00930056"/>
    <w:p w14:paraId="744678D8" w14:textId="2F345EC9" w:rsidR="00930056" w:rsidRDefault="000E5B7B" w:rsidP="00930056">
      <w:pPr>
        <w:rPr>
          <w:i/>
        </w:rPr>
      </w:pPr>
      <w:r w:rsidRPr="00EC38CE">
        <w:t xml:space="preserve">We have audited, in accordance with auditing standards generally accepted in the United States of America and the standards applicable to financial audits contained in Government Auditing Standards, issued by the Comptroller General of the United States, the financial statements of the business-type activities and the aggregate discretely presented component units of the Skagit Valley College, Skagit County, Washington, as of and for the year ended June 30, 2017, and the related notes to the financial statements, which collectively comprise the College’s basic financial statements, and have issued our report thereon dated January 4, 2018. As discussed in Note 2 to the financial statements, during the year ended June 30, 2017, the College implemented Governmental Accounting Standards Board Statement No. 73, </w:t>
      </w:r>
      <w:r w:rsidRPr="00EC38CE">
        <w:rPr>
          <w:i/>
        </w:rPr>
        <w:t>Accounting and Financial Reporting for Pensions and Related Assets That Are Not within the Scope of GASB Statement 68, and Amendments to Certain Provisions of GASB Statements 67 and 68.</w:t>
      </w:r>
    </w:p>
    <w:p w14:paraId="60B3A365" w14:textId="77777777" w:rsidR="00EC38CE" w:rsidRDefault="00EC38CE" w:rsidP="00930056">
      <w:pPr>
        <w:rPr>
          <w:i/>
        </w:rPr>
      </w:pPr>
    </w:p>
    <w:p w14:paraId="669039BF" w14:textId="25C3500D" w:rsidR="00EC38CE" w:rsidRDefault="00EC38CE" w:rsidP="00930056">
      <w:r w:rsidRPr="00EC38CE">
        <w:t>Our report includes a reference to other auditors who audited the financial statements of the Skagit Valley College Foundation (the Foundation), as described in our report on the College’s financial statements.  This report includes our consideration of the results of the other auditor’s testing of internal control over financial reporting and compliance and other matters that are reported on separately by those other auditors.  However, this report, insofar as it relates to the results of the other auditors, is based solely on the reports of the other auditors. The financial statements of the Foundation were not audited in accordance with Government Auditing Standards and accordingly this report does not include reporting on internal control over financial reporting or instances of reportable noncompliance associated with the Foundation. The Foundation prior year comparative information has been derived from the Foundation’s 2016 basic financial statements, on which other auditors issued their report dated October 11, 2016.</w:t>
      </w:r>
    </w:p>
    <w:p w14:paraId="50E2D811" w14:textId="77777777" w:rsidR="00EC38CE" w:rsidRDefault="00EC38CE" w:rsidP="00930056"/>
    <w:p w14:paraId="2987D9BF" w14:textId="752671D4" w:rsidR="00EC38CE" w:rsidRDefault="00EC38CE" w:rsidP="00930056">
      <w:r w:rsidRPr="00EC38CE">
        <w:t>The financial statements of the Skagit Valley College, an agency of the state of Washington, are intended to present the financial position, and the changes in financial position, and where</w:t>
      </w:r>
    </w:p>
    <w:p w14:paraId="5EE9D86F" w14:textId="43E650E5" w:rsidR="00EC38CE" w:rsidRDefault="00EC38CE" w:rsidP="00930056">
      <w:r w:rsidRPr="00EC38CE">
        <w:t>applicable, cash flows of only the respective portion of the activities of the state of Washington</w:t>
      </w:r>
    </w:p>
    <w:p w14:paraId="75BA3F39" w14:textId="623C6997" w:rsidR="00EC38CE" w:rsidRDefault="00EC38CE" w:rsidP="00930056">
      <w:r w:rsidRPr="00EC38CE">
        <w:t>that is attributable to the transactions of the College and its aggregate discretely presented</w:t>
      </w:r>
    </w:p>
    <w:p w14:paraId="25D45834" w14:textId="77777777" w:rsidR="00DB45F6" w:rsidRDefault="00DB45F6" w:rsidP="00930056"/>
    <w:p w14:paraId="363BE6F9" w14:textId="445C5922" w:rsidR="00DB45F6" w:rsidRPr="00DB45F6" w:rsidRDefault="00DB45F6" w:rsidP="007757D6">
      <w:pPr>
        <w:rPr>
          <w:i/>
          <w:sz w:val="20"/>
          <w:szCs w:val="20"/>
        </w:rPr>
      </w:pPr>
      <w:r>
        <w:rPr>
          <w:i/>
          <w:sz w:val="20"/>
          <w:szCs w:val="20"/>
        </w:rPr>
        <w:t xml:space="preserve">Washington State Auditor’s Office </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t>Page 4</w:t>
      </w:r>
    </w:p>
    <w:p w14:paraId="3318BE97" w14:textId="5FEAA94F" w:rsidR="00DB45F6" w:rsidRPr="007757D6" w:rsidRDefault="00C14911" w:rsidP="00930056">
      <w:pPr>
        <w:rPr>
          <w:sz w:val="22"/>
          <w:szCs w:val="22"/>
        </w:rPr>
      </w:pPr>
      <w:r w:rsidRPr="007757D6">
        <w:rPr>
          <w:sz w:val="22"/>
          <w:szCs w:val="22"/>
        </w:rPr>
        <w:lastRenderedPageBreak/>
        <w:t xml:space="preserve">component units.  They do not purport to, and do not, present fairly the financial position of the state of Washington  as of June 30, 2017, the changes in its financial position, or where applicable, its cash flows for the year then ended in conformity with accounting principles generally accepted in the United States of America.  Our opinion is not modified with respect to this matter.  </w:t>
      </w:r>
    </w:p>
    <w:p w14:paraId="42ABBBCB" w14:textId="77777777" w:rsidR="00EC38CE" w:rsidRPr="007757D6" w:rsidRDefault="00EC38CE" w:rsidP="00930056">
      <w:pPr>
        <w:rPr>
          <w:sz w:val="22"/>
          <w:szCs w:val="22"/>
        </w:rPr>
      </w:pPr>
    </w:p>
    <w:p w14:paraId="4A2AF0F6" w14:textId="6C2260F9" w:rsidR="00C14911" w:rsidRPr="007757D6" w:rsidRDefault="00C14911" w:rsidP="00930056">
      <w:pPr>
        <w:rPr>
          <w:sz w:val="22"/>
          <w:szCs w:val="22"/>
        </w:rPr>
      </w:pPr>
      <w:r w:rsidRPr="007757D6">
        <w:rPr>
          <w:sz w:val="22"/>
          <w:szCs w:val="22"/>
        </w:rPr>
        <w:t>INTERNAL CONTROL OVER FINANCIAL REPORTING</w:t>
      </w:r>
    </w:p>
    <w:p w14:paraId="2CD64A62" w14:textId="77777777" w:rsidR="00C14911" w:rsidRPr="007757D6" w:rsidRDefault="00C14911" w:rsidP="00930056">
      <w:pPr>
        <w:rPr>
          <w:sz w:val="22"/>
          <w:szCs w:val="22"/>
        </w:rPr>
      </w:pPr>
    </w:p>
    <w:p w14:paraId="33F04BE6" w14:textId="2D719EB5" w:rsidR="00C14911" w:rsidRPr="007757D6" w:rsidRDefault="00C14911" w:rsidP="00930056">
      <w:pPr>
        <w:rPr>
          <w:sz w:val="22"/>
          <w:szCs w:val="22"/>
        </w:rPr>
      </w:pPr>
      <w:r w:rsidRPr="007757D6">
        <w:rPr>
          <w:sz w:val="22"/>
          <w:szCs w:val="22"/>
        </w:rPr>
        <w:t>In planning and performing our audit of the financial statements, we considered the College’s internal control over financial reporting (internal control) to determine the audit procedures that are appropriate in the circumstances for the purpose of expressing our opinions on the financial statements, but not for the purpose of expressing an opinion on the effectiveness of the College’s internal control.  Accordingly, we do not express an opinion on the effectiveness of the College’s internal control.</w:t>
      </w:r>
    </w:p>
    <w:p w14:paraId="7AE23FAC" w14:textId="77777777" w:rsidR="00C14911" w:rsidRPr="007757D6" w:rsidRDefault="00C14911" w:rsidP="00930056">
      <w:pPr>
        <w:rPr>
          <w:sz w:val="22"/>
          <w:szCs w:val="22"/>
        </w:rPr>
      </w:pPr>
    </w:p>
    <w:p w14:paraId="515030D7" w14:textId="6EEE7288" w:rsidR="00EC38CE" w:rsidRPr="007757D6" w:rsidRDefault="00C14911" w:rsidP="00930056">
      <w:pPr>
        <w:rPr>
          <w:sz w:val="22"/>
          <w:szCs w:val="22"/>
        </w:rPr>
      </w:pPr>
      <w:r w:rsidRPr="007757D6">
        <w:rPr>
          <w:sz w:val="22"/>
          <w:szCs w:val="22"/>
        </w:rPr>
        <w:t xml:space="preserve">A </w:t>
      </w:r>
      <w:r w:rsidRPr="007757D6">
        <w:rPr>
          <w:i/>
          <w:sz w:val="22"/>
          <w:szCs w:val="22"/>
        </w:rPr>
        <w:t>deficiency in internal</w:t>
      </w:r>
      <w:r w:rsidRPr="007757D6">
        <w:rPr>
          <w:sz w:val="22"/>
          <w:szCs w:val="22"/>
        </w:rPr>
        <w:t xml:space="preserve"> control exists when the design or operation of a control does not allow management or employees, in the normal course of performing their assigned functions, to prevent, or detect and correct, misstatements on a timely basis.  A material weakness is a deficiency, or a combination of deficiencies, in internal control such that there is a reasonable possibility that a material misstatement of the College's financial statements will not be prevented, or detected and corrected on a timely basis.  A </w:t>
      </w:r>
      <w:r w:rsidRPr="007757D6">
        <w:rPr>
          <w:i/>
          <w:sz w:val="22"/>
          <w:szCs w:val="22"/>
        </w:rPr>
        <w:t>significant deficiency</w:t>
      </w:r>
      <w:r w:rsidRPr="007757D6">
        <w:rPr>
          <w:sz w:val="22"/>
          <w:szCs w:val="22"/>
        </w:rPr>
        <w:t xml:space="preserve"> is a deficiency, or a combination of deficiencies, in internal control that is less severe than a material weakness, yet important enough to merit attention by those charged with governance.</w:t>
      </w:r>
    </w:p>
    <w:p w14:paraId="5D5798C8" w14:textId="77777777" w:rsidR="00DC1B48" w:rsidRPr="007757D6" w:rsidRDefault="00DC1B48" w:rsidP="00930056">
      <w:pPr>
        <w:rPr>
          <w:sz w:val="22"/>
          <w:szCs w:val="22"/>
        </w:rPr>
      </w:pPr>
    </w:p>
    <w:p w14:paraId="048D1A29" w14:textId="2CDA6B50" w:rsidR="00DC1B48" w:rsidRPr="007757D6" w:rsidRDefault="00DC1B48" w:rsidP="00930056">
      <w:pPr>
        <w:rPr>
          <w:sz w:val="22"/>
          <w:szCs w:val="22"/>
        </w:rPr>
      </w:pPr>
      <w:r w:rsidRPr="007757D6">
        <w:rPr>
          <w:sz w:val="22"/>
          <w:szCs w:val="22"/>
        </w:rPr>
        <w:t>Our consideration of internal control was for the limited purpose described in the first paragraph of this section and was not designed to identify all deficiencies in internal control that might be material weaknesses or significant deficiencies.  Given these limitations, during our audit we did not identify any deficiencies in internal control that we consider to be material weaknesses.  However, material weaknesses may exist that have not been identified.</w:t>
      </w:r>
    </w:p>
    <w:p w14:paraId="5ECB3A1B" w14:textId="77777777" w:rsidR="00D62BC2" w:rsidRPr="007757D6" w:rsidRDefault="00D62BC2" w:rsidP="00930056">
      <w:pPr>
        <w:rPr>
          <w:sz w:val="22"/>
          <w:szCs w:val="22"/>
        </w:rPr>
      </w:pPr>
    </w:p>
    <w:p w14:paraId="3580F793" w14:textId="173DCD88" w:rsidR="00D62BC2" w:rsidRPr="007757D6" w:rsidRDefault="00D62BC2" w:rsidP="00930056">
      <w:pPr>
        <w:rPr>
          <w:sz w:val="22"/>
          <w:szCs w:val="22"/>
        </w:rPr>
      </w:pPr>
      <w:r w:rsidRPr="007757D6">
        <w:rPr>
          <w:sz w:val="22"/>
          <w:szCs w:val="22"/>
        </w:rPr>
        <w:t>COMPLIANCE AND OTHER MATTERS</w:t>
      </w:r>
    </w:p>
    <w:p w14:paraId="543C74E7" w14:textId="77777777" w:rsidR="00D62BC2" w:rsidRPr="007757D6" w:rsidRDefault="00D62BC2" w:rsidP="00930056">
      <w:pPr>
        <w:rPr>
          <w:sz w:val="22"/>
          <w:szCs w:val="22"/>
        </w:rPr>
      </w:pPr>
    </w:p>
    <w:p w14:paraId="600C46EE" w14:textId="1761DBD9" w:rsidR="00DC1B48" w:rsidRPr="007757D6" w:rsidRDefault="00D62BC2" w:rsidP="00930056">
      <w:pPr>
        <w:rPr>
          <w:sz w:val="22"/>
          <w:szCs w:val="22"/>
        </w:rPr>
      </w:pPr>
      <w:r w:rsidRPr="007757D6">
        <w:rPr>
          <w:sz w:val="22"/>
          <w:szCs w:val="22"/>
        </w:rPr>
        <w:t>As part of obtaining reasonable assurance about whether the College’s financial statements are free from material misstatement, we performed tests of the College’s compliance with certain provisions of laws, regulations, contracts and grant agreements, noncompliance with which could have a direct and material effect on the determination of financial statement amounts.  However, providing an opinion on compliance with those provisions was not an objective of our audit, and accordingly, we do not express such an opinion.</w:t>
      </w:r>
    </w:p>
    <w:p w14:paraId="203BD8EB" w14:textId="77777777" w:rsidR="00D62BC2" w:rsidRPr="007757D6" w:rsidRDefault="00D62BC2" w:rsidP="00930056">
      <w:pPr>
        <w:rPr>
          <w:sz w:val="22"/>
          <w:szCs w:val="22"/>
        </w:rPr>
      </w:pPr>
    </w:p>
    <w:p w14:paraId="1F62BBAF" w14:textId="5098067E" w:rsidR="00D62BC2" w:rsidRDefault="00D62BC2" w:rsidP="00930056">
      <w:pPr>
        <w:rPr>
          <w:sz w:val="22"/>
          <w:szCs w:val="22"/>
        </w:rPr>
      </w:pPr>
      <w:r w:rsidRPr="007757D6">
        <w:rPr>
          <w:sz w:val="22"/>
          <w:szCs w:val="22"/>
        </w:rPr>
        <w:t xml:space="preserve">The results of our tests disclosed no instances of noncompliance or other matters that are required to be reported under </w:t>
      </w:r>
      <w:r w:rsidRPr="007757D6">
        <w:rPr>
          <w:i/>
          <w:sz w:val="22"/>
          <w:szCs w:val="22"/>
        </w:rPr>
        <w:t>Government Auditing Standards</w:t>
      </w:r>
      <w:r w:rsidRPr="007757D6">
        <w:rPr>
          <w:sz w:val="22"/>
          <w:szCs w:val="22"/>
        </w:rPr>
        <w:t xml:space="preserve">.  </w:t>
      </w:r>
    </w:p>
    <w:p w14:paraId="03540D86" w14:textId="77777777" w:rsidR="007757D6" w:rsidRDefault="007757D6" w:rsidP="00930056">
      <w:pPr>
        <w:rPr>
          <w:sz w:val="22"/>
          <w:szCs w:val="22"/>
        </w:rPr>
      </w:pPr>
    </w:p>
    <w:p w14:paraId="1409CB78" w14:textId="77777777" w:rsidR="007757D6" w:rsidRPr="007757D6" w:rsidRDefault="007757D6" w:rsidP="00930056">
      <w:pPr>
        <w:rPr>
          <w:sz w:val="22"/>
          <w:szCs w:val="22"/>
        </w:rPr>
      </w:pPr>
    </w:p>
    <w:p w14:paraId="733DF0A7" w14:textId="3115AF95" w:rsidR="00D62BC2" w:rsidRDefault="00D62BC2" w:rsidP="007757D6">
      <w:pPr>
        <w:rPr>
          <w:i/>
          <w:sz w:val="20"/>
          <w:szCs w:val="20"/>
        </w:rPr>
      </w:pPr>
      <w:r>
        <w:rPr>
          <w:i/>
          <w:sz w:val="20"/>
          <w:szCs w:val="20"/>
        </w:rPr>
        <w:t>Washington State Auditor’s Office</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t>Page 5</w:t>
      </w:r>
    </w:p>
    <w:p w14:paraId="4A9775FE" w14:textId="77777777" w:rsidR="007757D6" w:rsidRDefault="007757D6" w:rsidP="00D62BC2">
      <w:pPr>
        <w:jc w:val="right"/>
        <w:rPr>
          <w:i/>
          <w:sz w:val="20"/>
          <w:szCs w:val="20"/>
        </w:rPr>
      </w:pPr>
    </w:p>
    <w:p w14:paraId="2F96607A" w14:textId="77777777" w:rsidR="007757D6" w:rsidRDefault="007757D6" w:rsidP="00D62BC2">
      <w:pPr>
        <w:jc w:val="right"/>
        <w:rPr>
          <w:i/>
          <w:sz w:val="20"/>
          <w:szCs w:val="20"/>
        </w:rPr>
      </w:pPr>
    </w:p>
    <w:p w14:paraId="31AC0594" w14:textId="77777777" w:rsidR="007757D6" w:rsidRDefault="007757D6" w:rsidP="00D62BC2">
      <w:pPr>
        <w:jc w:val="right"/>
        <w:rPr>
          <w:i/>
          <w:sz w:val="20"/>
          <w:szCs w:val="20"/>
        </w:rPr>
      </w:pPr>
    </w:p>
    <w:p w14:paraId="36FFF293" w14:textId="77777777" w:rsidR="007757D6" w:rsidRPr="00D62BC2" w:rsidRDefault="007757D6" w:rsidP="00D62BC2">
      <w:pPr>
        <w:jc w:val="right"/>
        <w:rPr>
          <w:i/>
          <w:sz w:val="20"/>
          <w:szCs w:val="20"/>
        </w:rPr>
      </w:pPr>
    </w:p>
    <w:p w14:paraId="2A46318D" w14:textId="14C0C394" w:rsidR="00D62BC2" w:rsidRDefault="00C12108" w:rsidP="00930056">
      <w:r w:rsidRPr="00C12108">
        <w:lastRenderedPageBreak/>
        <w:t>PURPOSE OF THIS REPORT</w:t>
      </w:r>
    </w:p>
    <w:p w14:paraId="46BD1E77" w14:textId="77777777" w:rsidR="00C12108" w:rsidRDefault="00C12108" w:rsidP="00930056"/>
    <w:p w14:paraId="604687A8" w14:textId="77777777" w:rsidR="00C12108" w:rsidRDefault="00C12108" w:rsidP="00930056"/>
    <w:p w14:paraId="29C6F454" w14:textId="15FD45CF" w:rsidR="00D62BC2" w:rsidRDefault="00C12108" w:rsidP="00930056">
      <w:r w:rsidRPr="00C12108">
        <w:t xml:space="preserve">The purpose of this report is solely to describe the scope of our testing of internal control and compliance and the results of that testing, and not to provide an opinion on the effectiveness of the College’s internal control or on compliance.  This report is an integral part of an audit performed in accordance with </w:t>
      </w:r>
      <w:r w:rsidRPr="00C12108">
        <w:rPr>
          <w:i/>
        </w:rPr>
        <w:t>Government Auditing Standards</w:t>
      </w:r>
      <w:r w:rsidRPr="00C12108">
        <w:t xml:space="preserve"> in considering the College’s internal control and compliance.  Accordingly, this communication is not suitable for any other purpose.  However, this report is a matter of public record and its distribution is not limited.  It also serves to disseminate information to the public as a reporting tool to help citizens assess government operations.</w:t>
      </w:r>
    </w:p>
    <w:p w14:paraId="6DC1EB79" w14:textId="77777777" w:rsidR="00196B9E" w:rsidRDefault="00196B9E" w:rsidP="00930056"/>
    <w:p w14:paraId="43736FC7" w14:textId="3B46EA0F" w:rsidR="00196B9E" w:rsidRDefault="00196B9E" w:rsidP="00930056">
      <w:r w:rsidRPr="00196B9E">
        <w:rPr>
          <w:noProof/>
        </w:rPr>
        <w:drawing>
          <wp:inline distT="0" distB="0" distL="0" distR="0" wp14:anchorId="3C99A0AD" wp14:editId="10CA485E">
            <wp:extent cx="1171575" cy="438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438150"/>
                    </a:xfrm>
                    <a:prstGeom prst="rect">
                      <a:avLst/>
                    </a:prstGeom>
                    <a:noFill/>
                    <a:ln>
                      <a:noFill/>
                    </a:ln>
                  </pic:spPr>
                </pic:pic>
              </a:graphicData>
            </a:graphic>
          </wp:inline>
        </w:drawing>
      </w:r>
    </w:p>
    <w:p w14:paraId="0F1DD9B2" w14:textId="77777777" w:rsidR="00196B9E" w:rsidRDefault="00196B9E" w:rsidP="00930056">
      <w:r w:rsidRPr="00196B9E">
        <w:t>Pat McCarthy</w:t>
      </w:r>
    </w:p>
    <w:p w14:paraId="78F5715D" w14:textId="77777777" w:rsidR="00196B9E" w:rsidRDefault="00196B9E" w:rsidP="00930056">
      <w:r w:rsidRPr="00196B9E">
        <w:t>State Auditor</w:t>
      </w:r>
    </w:p>
    <w:p w14:paraId="21E2C095" w14:textId="6D060558" w:rsidR="00196B9E" w:rsidRDefault="00196B9E" w:rsidP="00930056">
      <w:r w:rsidRPr="00196B9E">
        <w:t>Olympia, WA</w:t>
      </w:r>
    </w:p>
    <w:p w14:paraId="1B07FF60" w14:textId="77777777" w:rsidR="00196B9E" w:rsidRDefault="00196B9E" w:rsidP="00930056"/>
    <w:p w14:paraId="1CDCC9D6" w14:textId="77777777" w:rsidR="00196B9E" w:rsidRDefault="00196B9E" w:rsidP="00930056"/>
    <w:p w14:paraId="5D37E6EA" w14:textId="77777777" w:rsidR="00196B9E" w:rsidRDefault="00196B9E" w:rsidP="00930056"/>
    <w:p w14:paraId="44A2867C" w14:textId="1D5FD462" w:rsidR="00196B9E" w:rsidRDefault="00196B9E" w:rsidP="00930056">
      <w:r w:rsidRPr="00196B9E">
        <w:t>January 4, 2018</w:t>
      </w:r>
    </w:p>
    <w:p w14:paraId="670261E8" w14:textId="77777777" w:rsidR="008510D8" w:rsidRDefault="008510D8" w:rsidP="00930056"/>
    <w:p w14:paraId="6172EA07" w14:textId="77777777" w:rsidR="008510D8" w:rsidRDefault="008510D8" w:rsidP="00930056"/>
    <w:p w14:paraId="10890C33" w14:textId="77777777" w:rsidR="008510D8" w:rsidRDefault="008510D8" w:rsidP="00930056"/>
    <w:p w14:paraId="74A5CB74" w14:textId="77777777" w:rsidR="008510D8" w:rsidRDefault="008510D8" w:rsidP="00930056"/>
    <w:p w14:paraId="177B138F" w14:textId="77777777" w:rsidR="008510D8" w:rsidRDefault="008510D8" w:rsidP="00930056"/>
    <w:p w14:paraId="67AA1682" w14:textId="77777777" w:rsidR="008510D8" w:rsidRDefault="008510D8" w:rsidP="00930056"/>
    <w:p w14:paraId="4F8D6B0A" w14:textId="77777777" w:rsidR="008510D8" w:rsidRDefault="008510D8" w:rsidP="00930056"/>
    <w:p w14:paraId="7F504030" w14:textId="77777777" w:rsidR="008510D8" w:rsidRDefault="008510D8" w:rsidP="00930056"/>
    <w:p w14:paraId="44BB7550" w14:textId="77777777" w:rsidR="008510D8" w:rsidRDefault="008510D8" w:rsidP="00930056"/>
    <w:p w14:paraId="66904BE9" w14:textId="77777777" w:rsidR="008510D8" w:rsidRDefault="008510D8" w:rsidP="00930056"/>
    <w:p w14:paraId="48BD1F48" w14:textId="77777777" w:rsidR="008510D8" w:rsidRDefault="008510D8" w:rsidP="00930056"/>
    <w:p w14:paraId="1A65EDBE" w14:textId="77777777" w:rsidR="008510D8" w:rsidRDefault="008510D8" w:rsidP="00930056"/>
    <w:p w14:paraId="535E4AAB" w14:textId="77777777" w:rsidR="008510D8" w:rsidRDefault="008510D8" w:rsidP="00930056"/>
    <w:p w14:paraId="6363683F" w14:textId="77777777" w:rsidR="008510D8" w:rsidRDefault="008510D8" w:rsidP="00930056"/>
    <w:p w14:paraId="77A328D4" w14:textId="77777777" w:rsidR="008510D8" w:rsidRDefault="008510D8" w:rsidP="00930056"/>
    <w:p w14:paraId="49623517" w14:textId="77777777" w:rsidR="008510D8" w:rsidRDefault="008510D8" w:rsidP="00930056"/>
    <w:p w14:paraId="579B98BB" w14:textId="77777777" w:rsidR="008510D8" w:rsidRDefault="008510D8" w:rsidP="00930056"/>
    <w:p w14:paraId="073F34EC" w14:textId="77777777" w:rsidR="008510D8" w:rsidRDefault="008510D8" w:rsidP="00930056"/>
    <w:p w14:paraId="1EDE064C" w14:textId="77777777" w:rsidR="008510D8" w:rsidRDefault="008510D8" w:rsidP="00930056"/>
    <w:p w14:paraId="46A44CCD" w14:textId="0E2F8F5D" w:rsidR="008510D8" w:rsidRPr="008510D8" w:rsidRDefault="008510D8" w:rsidP="00171416">
      <w:pPr>
        <w:rPr>
          <w:i/>
          <w:sz w:val="20"/>
          <w:szCs w:val="20"/>
        </w:rPr>
      </w:pPr>
      <w:r w:rsidRPr="008510D8">
        <w:rPr>
          <w:i/>
          <w:sz w:val="20"/>
          <w:szCs w:val="20"/>
        </w:rPr>
        <w:t>Washington State Auditor’s Office</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t>Page 6</w:t>
      </w:r>
    </w:p>
    <w:p w14:paraId="28234158" w14:textId="77777777" w:rsidR="008510D8" w:rsidRPr="00EC38CE" w:rsidRDefault="008510D8" w:rsidP="00930056"/>
    <w:p w14:paraId="23724426" w14:textId="0409A834" w:rsidR="002B69DB" w:rsidRDefault="004C5EEE" w:rsidP="004C5EEE">
      <w:pPr>
        <w:pStyle w:val="Heading1"/>
        <w:jc w:val="center"/>
      </w:pPr>
      <w:r w:rsidRPr="004C5EEE">
        <w:lastRenderedPageBreak/>
        <w:t>INDEPENDENT AUDITOR’S REPORT ON FINANCIAL STATEMENTS</w:t>
      </w:r>
    </w:p>
    <w:p w14:paraId="0186852C" w14:textId="77777777" w:rsidR="004C5EEE" w:rsidRDefault="004C5EEE" w:rsidP="004C5EEE"/>
    <w:p w14:paraId="1B0F6272" w14:textId="1AC5237E" w:rsidR="004C5EEE" w:rsidRPr="004C5EEE" w:rsidRDefault="004C5EEE" w:rsidP="004C5EEE">
      <w:pPr>
        <w:jc w:val="center"/>
        <w:rPr>
          <w:b/>
        </w:rPr>
      </w:pPr>
      <w:r w:rsidRPr="004C5EEE">
        <w:rPr>
          <w:b/>
        </w:rPr>
        <w:t>Skagit Valley College</w:t>
      </w:r>
    </w:p>
    <w:p w14:paraId="20AF97E4" w14:textId="536F57DC" w:rsidR="004C5EEE" w:rsidRDefault="004C5EEE" w:rsidP="004C5EEE">
      <w:pPr>
        <w:jc w:val="center"/>
        <w:rPr>
          <w:b/>
        </w:rPr>
      </w:pPr>
      <w:r w:rsidRPr="004C5EEE">
        <w:rPr>
          <w:b/>
        </w:rPr>
        <w:t>July 1, 2016 through June 30,</w:t>
      </w:r>
      <w:r>
        <w:rPr>
          <w:b/>
        </w:rPr>
        <w:t xml:space="preserve"> 2017</w:t>
      </w:r>
    </w:p>
    <w:p w14:paraId="17EF53D2" w14:textId="77777777" w:rsidR="004C5EEE" w:rsidRDefault="004C5EEE" w:rsidP="004C5EEE">
      <w:pPr>
        <w:jc w:val="center"/>
        <w:rPr>
          <w:b/>
        </w:rPr>
      </w:pPr>
    </w:p>
    <w:p w14:paraId="35EF9A92" w14:textId="77777777" w:rsidR="004C5EEE" w:rsidRPr="004C5EEE" w:rsidRDefault="004C5EEE" w:rsidP="004C5EEE">
      <w:r w:rsidRPr="004C5EEE">
        <w:t xml:space="preserve">Board of Trustees </w:t>
      </w:r>
    </w:p>
    <w:p w14:paraId="3EA7EE89" w14:textId="77777777" w:rsidR="004C5EEE" w:rsidRPr="004C5EEE" w:rsidRDefault="004C5EEE" w:rsidP="004C5EEE">
      <w:r w:rsidRPr="004C5EEE">
        <w:t>Skagit Valley College</w:t>
      </w:r>
    </w:p>
    <w:p w14:paraId="718A7214" w14:textId="2A14C384" w:rsidR="004C5EEE" w:rsidRDefault="004C5EEE" w:rsidP="004C5EEE">
      <w:r w:rsidRPr="004C5EEE">
        <w:t>Mount Vernon, Washington</w:t>
      </w:r>
    </w:p>
    <w:p w14:paraId="799D720C" w14:textId="77777777" w:rsidR="004C5EEE" w:rsidRDefault="004C5EEE" w:rsidP="004C5EEE"/>
    <w:p w14:paraId="282D210F" w14:textId="706DF515" w:rsidR="004C5EEE" w:rsidRDefault="004C5EEE" w:rsidP="004C5EEE">
      <w:r w:rsidRPr="004C5EEE">
        <w:t>REPORT ON THE FINANCIAL STATEMENTS</w:t>
      </w:r>
    </w:p>
    <w:p w14:paraId="45601C6B" w14:textId="77777777" w:rsidR="004C5EEE" w:rsidRDefault="004C5EEE" w:rsidP="004C5EEE"/>
    <w:p w14:paraId="132EFD08" w14:textId="11686804" w:rsidR="004C5EEE" w:rsidRDefault="004C5EEE" w:rsidP="004C5EEE">
      <w:r w:rsidRPr="004C5EEE">
        <w:t xml:space="preserve">We have audited the accompanying financial statements of the business-type activities and the aggregate discretely presented component units of the Skagit Valley College, Skagit County, Washington, as of and for the year ended June 30, 2017, and the related notes to the financial statements, which collectively comprise the College’s basic financial statements as listed on page 11.  </w:t>
      </w:r>
    </w:p>
    <w:p w14:paraId="6D6B2B7B" w14:textId="77777777" w:rsidR="004C5EEE" w:rsidRDefault="004C5EEE" w:rsidP="004C5EEE"/>
    <w:p w14:paraId="436FF935" w14:textId="3B0DF4FC" w:rsidR="004C5EEE" w:rsidRDefault="004C5EEE" w:rsidP="004C5EEE">
      <w:r w:rsidRPr="004C5EEE">
        <w:t>Management’s Responsibility for the Financial Statements</w:t>
      </w:r>
    </w:p>
    <w:p w14:paraId="217C36F9" w14:textId="77777777" w:rsidR="004C5EEE" w:rsidRDefault="004C5EEE" w:rsidP="004C5EEE"/>
    <w:p w14:paraId="3555B69D" w14:textId="2EBA8465" w:rsidR="004C5EEE" w:rsidRDefault="004C5EEE" w:rsidP="004C5EEE">
      <w:r w:rsidRPr="004C5EEE">
        <w:t>Management is responsible for the preparation and fair presentation of these financial statements in accordance with accounting principles generally accepted in the United States of America; this includes the design, implementation, and maintenance of internal control relevant to the preparation and fair presentation of financial statements that are free from material misstatement, whether due to fraud or error.</w:t>
      </w:r>
    </w:p>
    <w:p w14:paraId="34CC776C" w14:textId="77777777" w:rsidR="004C5EEE" w:rsidRDefault="004C5EEE" w:rsidP="004C5EEE"/>
    <w:p w14:paraId="4475E06C" w14:textId="1B287272" w:rsidR="004C5EEE" w:rsidRDefault="004C5EEE" w:rsidP="004C5EEE">
      <w:r w:rsidRPr="004C5EEE">
        <w:t>Auditor’s Responsibility</w:t>
      </w:r>
    </w:p>
    <w:p w14:paraId="29E762FC" w14:textId="77777777" w:rsidR="004C5EEE" w:rsidRDefault="004C5EEE" w:rsidP="004C5EEE"/>
    <w:p w14:paraId="230E2A13" w14:textId="78666A93" w:rsidR="004C5EEE" w:rsidRDefault="004C5EEE" w:rsidP="004C5EEE">
      <w:r w:rsidRPr="004C5EEE">
        <w:t>Our responsibility is to express opinions on these financial statements based on our audit. We did not audit the financial statements of the Skagit Valley College Foundation (the Foundation), which represents 100 percent of the assets, net position and revenues of the aggregate discretely presented component units.  Those statements were audited by other auditors, whose report has been furnished to us, and our opinion, insofar as it relates to the amounts included for the Foundation is based solely on the report of the other auditors.</w:t>
      </w:r>
    </w:p>
    <w:p w14:paraId="2CCD19A4" w14:textId="77777777" w:rsidR="004C5EEE" w:rsidRDefault="004C5EEE" w:rsidP="004C5EEE"/>
    <w:p w14:paraId="535D75FA" w14:textId="77777777" w:rsidR="004C5EEE" w:rsidRDefault="004C5EEE" w:rsidP="004C5EEE"/>
    <w:p w14:paraId="7170EB73" w14:textId="658901A4" w:rsidR="004C5EEE" w:rsidRDefault="004C5EEE" w:rsidP="004C5EEE">
      <w:r w:rsidRPr="004C5EEE">
        <w:t xml:space="preserve">We conducted our audit in accordance with auditing standards generally accepted in the United States of America and the standards applicable to financial audits contained </w:t>
      </w:r>
      <w:r w:rsidRPr="004C5EEE">
        <w:rPr>
          <w:i/>
        </w:rPr>
        <w:t>in Government Auditing Standards</w:t>
      </w:r>
      <w:r w:rsidRPr="004C5EEE">
        <w:t>, issued by the Comptroller General of the United States.  Those standards require that we plan and perform the audit to obtain reasonable assurance about whether the</w:t>
      </w:r>
    </w:p>
    <w:p w14:paraId="6E788FA5" w14:textId="77777777" w:rsidR="00044C7F" w:rsidRDefault="00044C7F" w:rsidP="004C5EEE"/>
    <w:p w14:paraId="222B9279" w14:textId="040EF876" w:rsidR="00044C7F" w:rsidRPr="00044C7F" w:rsidRDefault="00044C7F" w:rsidP="00171416">
      <w:pPr>
        <w:rPr>
          <w:i/>
          <w:sz w:val="20"/>
          <w:szCs w:val="20"/>
        </w:rPr>
      </w:pPr>
      <w:r>
        <w:rPr>
          <w:i/>
          <w:sz w:val="20"/>
          <w:szCs w:val="20"/>
        </w:rPr>
        <w:t xml:space="preserve">Washington State Auditor’s Office </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sidR="00171416">
        <w:rPr>
          <w:i/>
          <w:sz w:val="20"/>
          <w:szCs w:val="20"/>
        </w:rPr>
        <w:t xml:space="preserve">                    </w:t>
      </w:r>
      <w:r>
        <w:rPr>
          <w:i/>
          <w:sz w:val="20"/>
          <w:szCs w:val="20"/>
        </w:rPr>
        <w:t>Page 7</w:t>
      </w:r>
    </w:p>
    <w:p w14:paraId="792F5EE1" w14:textId="77777777" w:rsidR="004C5EEE" w:rsidRPr="004C5EEE" w:rsidRDefault="004C5EEE" w:rsidP="004C5EEE"/>
    <w:p w14:paraId="71AD2664" w14:textId="77A13E0E" w:rsidR="002B69DB" w:rsidRPr="00171416" w:rsidRDefault="006771D4" w:rsidP="003F6741">
      <w:pPr>
        <w:pStyle w:val="Heading1"/>
        <w:rPr>
          <w:rFonts w:ascii="Times New Roman" w:hAnsi="Times New Roman" w:cs="Times New Roman"/>
          <w:b w:val="0"/>
          <w:color w:val="auto"/>
          <w:sz w:val="22"/>
          <w:szCs w:val="22"/>
        </w:rPr>
      </w:pPr>
      <w:r w:rsidRPr="00171416">
        <w:rPr>
          <w:rFonts w:ascii="Times New Roman" w:hAnsi="Times New Roman" w:cs="Times New Roman"/>
          <w:b w:val="0"/>
          <w:color w:val="auto"/>
          <w:sz w:val="22"/>
          <w:szCs w:val="22"/>
        </w:rPr>
        <w:lastRenderedPageBreak/>
        <w:t xml:space="preserve">financial statements are free from material misstatement.  The financial statements of the Foundation were not audited in accordance with </w:t>
      </w:r>
      <w:r w:rsidRPr="00171416">
        <w:rPr>
          <w:rFonts w:ascii="Times New Roman" w:hAnsi="Times New Roman" w:cs="Times New Roman"/>
          <w:b w:val="0"/>
          <w:i/>
          <w:color w:val="auto"/>
          <w:sz w:val="22"/>
          <w:szCs w:val="22"/>
        </w:rPr>
        <w:t>Government Auditing Standards</w:t>
      </w:r>
      <w:r w:rsidRPr="00171416">
        <w:rPr>
          <w:rFonts w:ascii="Times New Roman" w:hAnsi="Times New Roman" w:cs="Times New Roman"/>
          <w:b w:val="0"/>
          <w:color w:val="auto"/>
          <w:sz w:val="22"/>
          <w:szCs w:val="22"/>
        </w:rPr>
        <w:t>.</w:t>
      </w:r>
    </w:p>
    <w:p w14:paraId="3EB70C25" w14:textId="77777777" w:rsidR="006771D4" w:rsidRPr="00171416" w:rsidRDefault="006771D4" w:rsidP="006771D4">
      <w:pPr>
        <w:rPr>
          <w:sz w:val="22"/>
          <w:szCs w:val="22"/>
        </w:rPr>
      </w:pPr>
    </w:p>
    <w:p w14:paraId="0F59B632" w14:textId="213281B9" w:rsidR="006771D4" w:rsidRPr="00171416" w:rsidRDefault="006771D4" w:rsidP="006771D4">
      <w:pPr>
        <w:rPr>
          <w:sz w:val="22"/>
          <w:szCs w:val="22"/>
        </w:rPr>
      </w:pPr>
      <w:r w:rsidRPr="00171416">
        <w:rPr>
          <w:sz w:val="22"/>
          <w:szCs w:val="22"/>
        </w:rPr>
        <w:t>An audit involves performing procedures to obtain audit evidence about the amounts and disclosures in the financial statements.  The procedures selected depend on the auditor’s judgment, including the assessment of the risks of material misstatement of the financial statements, whether due to fraud or error.  In making those risk assessments, the auditor considers internal control relevant to the College’s preparation and fair presentation of the financial statements in order to design audit procedures that are appropriate in the circumstances, but not for the purpose of expressing an opinion on the effectiveness of the College’s internal control.  Accordingly, we express no such opinion.  An audit also includes evaluating the appropriateness of accounting policies used and the reasonableness of significant accounting estimates made by management, as well as evaluating the overall presentation of the financial statements.</w:t>
      </w:r>
    </w:p>
    <w:p w14:paraId="29A76003" w14:textId="77777777" w:rsidR="006771D4" w:rsidRPr="00171416" w:rsidRDefault="006771D4" w:rsidP="006771D4">
      <w:pPr>
        <w:rPr>
          <w:sz w:val="22"/>
          <w:szCs w:val="22"/>
        </w:rPr>
      </w:pPr>
    </w:p>
    <w:p w14:paraId="151B29B6" w14:textId="7B2E3CCB" w:rsidR="006771D4" w:rsidRPr="00171416" w:rsidRDefault="006771D4" w:rsidP="006771D4">
      <w:pPr>
        <w:rPr>
          <w:sz w:val="22"/>
          <w:szCs w:val="22"/>
        </w:rPr>
      </w:pPr>
      <w:r w:rsidRPr="00171416">
        <w:rPr>
          <w:sz w:val="22"/>
          <w:szCs w:val="22"/>
        </w:rPr>
        <w:t>We believe that the audit evidence we have obtained is sufficient and appropriate to provide a basis for our audit opinions.</w:t>
      </w:r>
    </w:p>
    <w:p w14:paraId="6A798F59" w14:textId="77777777" w:rsidR="006771D4" w:rsidRPr="00171416" w:rsidRDefault="006771D4" w:rsidP="006771D4">
      <w:pPr>
        <w:rPr>
          <w:sz w:val="22"/>
          <w:szCs w:val="22"/>
        </w:rPr>
      </w:pPr>
    </w:p>
    <w:p w14:paraId="37DF3C72" w14:textId="77E6C0A6" w:rsidR="006771D4" w:rsidRPr="00171416" w:rsidRDefault="006771D4" w:rsidP="006771D4">
      <w:pPr>
        <w:rPr>
          <w:sz w:val="22"/>
          <w:szCs w:val="22"/>
        </w:rPr>
      </w:pPr>
      <w:r w:rsidRPr="00171416">
        <w:rPr>
          <w:sz w:val="22"/>
          <w:szCs w:val="22"/>
        </w:rPr>
        <w:t>Opinion</w:t>
      </w:r>
    </w:p>
    <w:p w14:paraId="547D2AAA" w14:textId="77777777" w:rsidR="006771D4" w:rsidRPr="00171416" w:rsidRDefault="006771D4" w:rsidP="006771D4">
      <w:pPr>
        <w:rPr>
          <w:sz w:val="22"/>
          <w:szCs w:val="22"/>
        </w:rPr>
      </w:pPr>
    </w:p>
    <w:p w14:paraId="60DA93B9" w14:textId="2E902CDF" w:rsidR="006771D4" w:rsidRPr="00171416" w:rsidRDefault="006771D4" w:rsidP="006771D4">
      <w:pPr>
        <w:rPr>
          <w:sz w:val="22"/>
          <w:szCs w:val="22"/>
        </w:rPr>
      </w:pPr>
      <w:r w:rsidRPr="00171416">
        <w:rPr>
          <w:sz w:val="22"/>
          <w:szCs w:val="22"/>
        </w:rPr>
        <w:t>In our opinion, based on our audit and the report of the other auditors, the financial statements referred to above present fairly, in all material respects, the respective financial position of the business-type activities and the aggregate discretely presented component units of the Skagit Valley College, as of June 30, 2017, and the respective changes in financial position and, where applicable, cash flows thereof for the year then ended in accordance with accounting principles generally accepted in the United States of America.</w:t>
      </w:r>
    </w:p>
    <w:p w14:paraId="6C163ADB" w14:textId="77777777" w:rsidR="006771D4" w:rsidRPr="00171416" w:rsidRDefault="006771D4" w:rsidP="006771D4">
      <w:pPr>
        <w:rPr>
          <w:sz w:val="22"/>
          <w:szCs w:val="22"/>
        </w:rPr>
      </w:pPr>
    </w:p>
    <w:p w14:paraId="0A1EAF45" w14:textId="666E70E1" w:rsidR="006771D4" w:rsidRPr="00171416" w:rsidRDefault="006771D4" w:rsidP="006771D4">
      <w:pPr>
        <w:rPr>
          <w:sz w:val="22"/>
          <w:szCs w:val="22"/>
        </w:rPr>
      </w:pPr>
      <w:r w:rsidRPr="00171416">
        <w:rPr>
          <w:sz w:val="22"/>
          <w:szCs w:val="22"/>
        </w:rPr>
        <w:t>Matters of Emphasis</w:t>
      </w:r>
    </w:p>
    <w:p w14:paraId="71FE96A5" w14:textId="77777777" w:rsidR="006771D4" w:rsidRPr="00171416" w:rsidRDefault="006771D4" w:rsidP="006771D4">
      <w:pPr>
        <w:rPr>
          <w:sz w:val="22"/>
          <w:szCs w:val="22"/>
        </w:rPr>
      </w:pPr>
    </w:p>
    <w:p w14:paraId="4EE61BAC" w14:textId="7C779857" w:rsidR="006771D4" w:rsidRPr="00171416" w:rsidRDefault="006771D4" w:rsidP="006771D4">
      <w:pPr>
        <w:rPr>
          <w:sz w:val="22"/>
          <w:szCs w:val="22"/>
        </w:rPr>
      </w:pPr>
      <w:r w:rsidRPr="00171416">
        <w:rPr>
          <w:sz w:val="22"/>
          <w:szCs w:val="22"/>
        </w:rPr>
        <w:t xml:space="preserve">As discussed in Note 2 to the financial statements, in 2017, the College adopted new accounting guidance, Governmental Accounting Standards Board Statement No. 73, </w:t>
      </w:r>
      <w:r w:rsidRPr="00171416">
        <w:rPr>
          <w:i/>
          <w:sz w:val="22"/>
          <w:szCs w:val="22"/>
        </w:rPr>
        <w:t>Accounting and Financial Reporting for Pensions and Related Assets That Are Not within the Scope of GASB Statement 68, and Amendments to Certain Provisions of GASB Statements 67 and 68.</w:t>
      </w:r>
      <w:r w:rsidRPr="00171416">
        <w:rPr>
          <w:sz w:val="22"/>
          <w:szCs w:val="22"/>
        </w:rPr>
        <w:t xml:space="preserve">  Our opinion is not modified with respect to this matter.</w:t>
      </w:r>
    </w:p>
    <w:p w14:paraId="3CBC8377" w14:textId="77777777" w:rsidR="006771D4" w:rsidRPr="00171416" w:rsidRDefault="006771D4" w:rsidP="006771D4">
      <w:pPr>
        <w:rPr>
          <w:sz w:val="22"/>
          <w:szCs w:val="22"/>
        </w:rPr>
      </w:pPr>
    </w:p>
    <w:p w14:paraId="270C4865" w14:textId="3F16E569" w:rsidR="006771D4" w:rsidRPr="00171416" w:rsidRDefault="006771D4" w:rsidP="006771D4">
      <w:pPr>
        <w:rPr>
          <w:sz w:val="22"/>
          <w:szCs w:val="22"/>
        </w:rPr>
      </w:pPr>
      <w:r w:rsidRPr="00171416">
        <w:rPr>
          <w:sz w:val="22"/>
          <w:szCs w:val="22"/>
        </w:rPr>
        <w:t>As discussed in Note 1, the financial statements of the Skagit Valley College, an agency of the state of Washington, are intended to present the financial position, and the changes in financial position, and where applicable, cash flows of only the respective portion of the activities of the state of Washington that is attributable to the transactions of the College and its aggregate discretely presented component units.  They do not purport to, and do not, present fairly the financial position of the state of Washington as of June 30, 2017, the changes in its financial</w:t>
      </w:r>
    </w:p>
    <w:p w14:paraId="504A389A" w14:textId="77777777" w:rsidR="00171416" w:rsidRDefault="00171416" w:rsidP="006771D4"/>
    <w:p w14:paraId="4A6A3DB1" w14:textId="263CC2EE" w:rsidR="00171416" w:rsidRPr="007757D6" w:rsidRDefault="00171416" w:rsidP="006771D4">
      <w:pPr>
        <w:rPr>
          <w:i/>
          <w:sz w:val="20"/>
          <w:szCs w:val="20"/>
        </w:rPr>
      </w:pPr>
      <w:r w:rsidRPr="007757D6">
        <w:rPr>
          <w:i/>
          <w:sz w:val="20"/>
          <w:szCs w:val="20"/>
        </w:rPr>
        <w:t>Washington State Auditor’s Office</w:t>
      </w:r>
      <w:r w:rsidRPr="007757D6">
        <w:rPr>
          <w:i/>
          <w:sz w:val="20"/>
          <w:szCs w:val="20"/>
        </w:rPr>
        <w:tab/>
      </w:r>
      <w:r w:rsidRPr="007757D6">
        <w:rPr>
          <w:i/>
          <w:sz w:val="20"/>
          <w:szCs w:val="20"/>
        </w:rPr>
        <w:tab/>
      </w:r>
      <w:r w:rsidRPr="007757D6">
        <w:rPr>
          <w:i/>
          <w:sz w:val="20"/>
          <w:szCs w:val="20"/>
        </w:rPr>
        <w:tab/>
      </w:r>
      <w:r w:rsidRPr="007757D6">
        <w:rPr>
          <w:i/>
          <w:sz w:val="20"/>
          <w:szCs w:val="20"/>
        </w:rPr>
        <w:tab/>
      </w:r>
      <w:r w:rsidRPr="007757D6">
        <w:rPr>
          <w:i/>
          <w:sz w:val="20"/>
          <w:szCs w:val="20"/>
        </w:rPr>
        <w:tab/>
      </w:r>
      <w:r w:rsidRPr="007757D6">
        <w:rPr>
          <w:i/>
          <w:sz w:val="20"/>
          <w:szCs w:val="20"/>
        </w:rPr>
        <w:tab/>
      </w:r>
      <w:r w:rsidRPr="007757D6">
        <w:rPr>
          <w:i/>
          <w:sz w:val="20"/>
          <w:szCs w:val="20"/>
        </w:rPr>
        <w:tab/>
      </w:r>
      <w:r w:rsidRPr="007757D6">
        <w:rPr>
          <w:i/>
          <w:sz w:val="20"/>
          <w:szCs w:val="20"/>
        </w:rPr>
        <w:tab/>
        <w:t>Page 8</w:t>
      </w:r>
    </w:p>
    <w:p w14:paraId="1AA6BA33" w14:textId="7313BAFD" w:rsidR="002B69DB" w:rsidRPr="005C3D83" w:rsidRDefault="007757D6" w:rsidP="003F6741">
      <w:pPr>
        <w:pStyle w:val="Heading1"/>
        <w:rPr>
          <w:rFonts w:ascii="Times New Roman" w:hAnsi="Times New Roman" w:cs="Times New Roman"/>
          <w:b w:val="0"/>
          <w:color w:val="auto"/>
          <w:sz w:val="22"/>
          <w:szCs w:val="22"/>
        </w:rPr>
      </w:pPr>
      <w:r w:rsidRPr="005C3D83">
        <w:rPr>
          <w:rFonts w:ascii="Times New Roman" w:hAnsi="Times New Roman" w:cs="Times New Roman"/>
          <w:b w:val="0"/>
          <w:color w:val="auto"/>
          <w:sz w:val="22"/>
          <w:szCs w:val="22"/>
        </w:rPr>
        <w:lastRenderedPageBreak/>
        <w:t xml:space="preserve">position, or where applicable, its cash flows for the year then ended in conformity with accounting principles generally accepted in the United States of America.  Our opinion is not modified with respect to this matter.  </w:t>
      </w:r>
    </w:p>
    <w:p w14:paraId="7BEF0EC1" w14:textId="77777777" w:rsidR="007757D6" w:rsidRPr="005C3D83" w:rsidRDefault="007757D6" w:rsidP="007757D6">
      <w:pPr>
        <w:rPr>
          <w:sz w:val="22"/>
          <w:szCs w:val="22"/>
        </w:rPr>
      </w:pPr>
    </w:p>
    <w:p w14:paraId="078D6962" w14:textId="52D33E0A" w:rsidR="007757D6" w:rsidRPr="005C3D83" w:rsidRDefault="007757D6" w:rsidP="007757D6">
      <w:pPr>
        <w:rPr>
          <w:b/>
          <w:sz w:val="22"/>
          <w:szCs w:val="22"/>
        </w:rPr>
      </w:pPr>
      <w:r w:rsidRPr="005C3D83">
        <w:rPr>
          <w:b/>
          <w:sz w:val="22"/>
          <w:szCs w:val="22"/>
        </w:rPr>
        <w:t>Other Matters</w:t>
      </w:r>
    </w:p>
    <w:p w14:paraId="1D160504" w14:textId="77777777" w:rsidR="007757D6" w:rsidRPr="005C3D83" w:rsidRDefault="007757D6" w:rsidP="007757D6">
      <w:pPr>
        <w:rPr>
          <w:b/>
          <w:sz w:val="22"/>
          <w:szCs w:val="22"/>
        </w:rPr>
      </w:pPr>
    </w:p>
    <w:p w14:paraId="70CB2A84" w14:textId="6BE7B572" w:rsidR="007757D6" w:rsidRPr="005C3D83" w:rsidRDefault="007757D6" w:rsidP="007757D6">
      <w:pPr>
        <w:rPr>
          <w:b/>
          <w:i/>
          <w:sz w:val="22"/>
          <w:szCs w:val="22"/>
        </w:rPr>
      </w:pPr>
      <w:r w:rsidRPr="005C3D83">
        <w:rPr>
          <w:b/>
          <w:i/>
          <w:sz w:val="22"/>
          <w:szCs w:val="22"/>
        </w:rPr>
        <w:t>Report on Summarized Comparative Information</w:t>
      </w:r>
    </w:p>
    <w:p w14:paraId="3328CB9A" w14:textId="77777777" w:rsidR="007757D6" w:rsidRPr="005C3D83" w:rsidRDefault="007757D6" w:rsidP="007757D6">
      <w:pPr>
        <w:rPr>
          <w:b/>
          <w:i/>
          <w:sz w:val="22"/>
          <w:szCs w:val="22"/>
        </w:rPr>
      </w:pPr>
    </w:p>
    <w:p w14:paraId="3F17B015" w14:textId="7E8E713E" w:rsidR="007757D6" w:rsidRPr="005C3D83" w:rsidRDefault="00E81A54" w:rsidP="007757D6">
      <w:pPr>
        <w:rPr>
          <w:sz w:val="22"/>
          <w:szCs w:val="22"/>
        </w:rPr>
      </w:pPr>
      <w:r w:rsidRPr="005C3D83">
        <w:rPr>
          <w:sz w:val="22"/>
          <w:szCs w:val="22"/>
        </w:rPr>
        <w:t>The Foundation financial statements include summarized prior-year comparative information.  Such information does not include all of the information required for a presentation in conformity with accounting principles generally accepted in the United States of America.  Accordingly, such information should be read in conjunction with the Foundation’s financial statements for the year ended June 30, 2106, from which such summarized information was derived.  Other auditors have previously audited the Foundation’s 2016 basic financial statements and they expressed an unmodified opinion in their report dated October 11, 2016.</w:t>
      </w:r>
    </w:p>
    <w:p w14:paraId="67391DC2" w14:textId="77777777" w:rsidR="000B5963" w:rsidRPr="005C3D83" w:rsidRDefault="000B5963" w:rsidP="007757D6">
      <w:pPr>
        <w:rPr>
          <w:sz w:val="22"/>
          <w:szCs w:val="22"/>
        </w:rPr>
      </w:pPr>
    </w:p>
    <w:p w14:paraId="0C4BCE36" w14:textId="02818031" w:rsidR="000B5963" w:rsidRPr="005C3D83" w:rsidRDefault="000B5963" w:rsidP="007757D6">
      <w:pPr>
        <w:rPr>
          <w:b/>
          <w:i/>
          <w:sz w:val="22"/>
          <w:szCs w:val="22"/>
        </w:rPr>
      </w:pPr>
      <w:r w:rsidRPr="005C3D83">
        <w:rPr>
          <w:b/>
          <w:i/>
          <w:sz w:val="22"/>
          <w:szCs w:val="22"/>
        </w:rPr>
        <w:t>Required Supplementary Information</w:t>
      </w:r>
    </w:p>
    <w:p w14:paraId="3D1F9637" w14:textId="77777777" w:rsidR="000B5963" w:rsidRPr="005C3D83" w:rsidRDefault="000B5963" w:rsidP="007757D6">
      <w:pPr>
        <w:rPr>
          <w:b/>
          <w:i/>
          <w:sz w:val="22"/>
          <w:szCs w:val="22"/>
        </w:rPr>
      </w:pPr>
    </w:p>
    <w:p w14:paraId="7FD2A195" w14:textId="3674C353" w:rsidR="000B5963" w:rsidRPr="005C3D83" w:rsidRDefault="000B5963" w:rsidP="007757D6">
      <w:pPr>
        <w:rPr>
          <w:sz w:val="22"/>
          <w:szCs w:val="22"/>
        </w:rPr>
      </w:pPr>
      <w:r w:rsidRPr="005C3D83">
        <w:rPr>
          <w:sz w:val="22"/>
          <w:szCs w:val="22"/>
        </w:rPr>
        <w:t>Accounting principles generally accepted in the United States of America require that the management’s discussion and analysis and required supplementary information listed on page 11 be presented to supplement the basic financial statements.  Such information, although not a part of the basic financial statements, is required by the Governmental Accounting Standards Board who considers it to be an essential part of financial reporting for placing the basic financial statements in an appropriate operational, economic or historical context.  We have applied certain limited procedures to the required supplementary information in accordance with auditing standards generally accepted in the United States of America, which consisted of inquiries of management about the methods of preparing the information and comparing the information for consistency with management’s responses to our inquiries, the basic financial statements, and other knowledge we obtained during our audit of the basic financial statements.  We do not express an opinion or provide any assurance on the information because the limited procedures do not provide us with sufficient evidence to express an opinion or provide any assurance.</w:t>
      </w:r>
    </w:p>
    <w:p w14:paraId="3876214B" w14:textId="77777777" w:rsidR="000B5963" w:rsidRDefault="000B5963" w:rsidP="007757D6"/>
    <w:p w14:paraId="26E8016E" w14:textId="5BC64961" w:rsidR="000B5963" w:rsidRPr="000B5963" w:rsidRDefault="000B5963" w:rsidP="007757D6">
      <w:pPr>
        <w:rPr>
          <w:b/>
          <w:color w:val="244061" w:themeColor="accent1" w:themeShade="80"/>
        </w:rPr>
      </w:pPr>
      <w:r w:rsidRPr="000B5963">
        <w:rPr>
          <w:b/>
          <w:color w:val="244061" w:themeColor="accent1" w:themeShade="80"/>
        </w:rPr>
        <w:t>OTHER REPORTING REQUIRED BY GOVERNMENT AUDITING</w:t>
      </w:r>
    </w:p>
    <w:p w14:paraId="01C9BBE5" w14:textId="49F5CA7C" w:rsidR="000B5963" w:rsidRDefault="000B5963" w:rsidP="007757D6">
      <w:pPr>
        <w:rPr>
          <w:b/>
          <w:color w:val="244061" w:themeColor="accent1" w:themeShade="80"/>
        </w:rPr>
      </w:pPr>
      <w:r w:rsidRPr="000B5963">
        <w:rPr>
          <w:b/>
          <w:color w:val="244061" w:themeColor="accent1" w:themeShade="80"/>
        </w:rPr>
        <w:t>STANDARDS</w:t>
      </w:r>
    </w:p>
    <w:p w14:paraId="68C073F0" w14:textId="77777777" w:rsidR="000B5963" w:rsidRDefault="000B5963" w:rsidP="007757D6">
      <w:pPr>
        <w:rPr>
          <w:b/>
          <w:color w:val="244061" w:themeColor="accent1" w:themeShade="80"/>
        </w:rPr>
      </w:pPr>
    </w:p>
    <w:p w14:paraId="3A2CBD7E" w14:textId="3FF78933" w:rsidR="000B5963" w:rsidRDefault="000B5963" w:rsidP="007757D6">
      <w:pPr>
        <w:rPr>
          <w:sz w:val="22"/>
          <w:szCs w:val="22"/>
        </w:rPr>
      </w:pPr>
      <w:r w:rsidRPr="000B5963">
        <w:rPr>
          <w:sz w:val="22"/>
          <w:szCs w:val="22"/>
        </w:rPr>
        <w:t xml:space="preserve">In accordance with </w:t>
      </w:r>
      <w:r w:rsidRPr="000B5963">
        <w:rPr>
          <w:i/>
          <w:sz w:val="22"/>
          <w:szCs w:val="22"/>
        </w:rPr>
        <w:t>Government Auditing Standards</w:t>
      </w:r>
      <w:r w:rsidRPr="000B5963">
        <w:rPr>
          <w:sz w:val="22"/>
          <w:szCs w:val="22"/>
        </w:rPr>
        <w:t>, we have also issued our report dated January 4, 2018 on our consideration of the College’s internal control over financial reporting and on our tests of its compliance with certain provisions of laws, regulations, contracts and grant agreements and other matters.  The purpose of that report is to describe the scope of our testing of internal control over financial reporting and compliance and the results of that testing,</w:t>
      </w:r>
      <w:r w:rsidR="005C3D83">
        <w:rPr>
          <w:sz w:val="22"/>
          <w:szCs w:val="22"/>
        </w:rPr>
        <w:t xml:space="preserve"> </w:t>
      </w:r>
      <w:r w:rsidR="005C3D83" w:rsidRPr="005C3D83">
        <w:rPr>
          <w:sz w:val="22"/>
          <w:szCs w:val="22"/>
        </w:rPr>
        <w:t>and not to provide an opinion on internal control over financial reporting or on compliance.  That report is an integral part of an audit performed in accordance with Government Auditing Standards in considering the College’s internal control over financial reporting and compliance.</w:t>
      </w:r>
    </w:p>
    <w:p w14:paraId="56450886" w14:textId="77777777" w:rsidR="005C3D83" w:rsidRDefault="005C3D83" w:rsidP="007757D6">
      <w:pPr>
        <w:rPr>
          <w:sz w:val="22"/>
          <w:szCs w:val="22"/>
        </w:rPr>
      </w:pPr>
    </w:p>
    <w:p w14:paraId="3164F11F" w14:textId="06E4890A" w:rsidR="005C3D83" w:rsidRPr="005C3D83" w:rsidRDefault="005C3D83" w:rsidP="007757D6">
      <w:pPr>
        <w:rPr>
          <w:i/>
          <w:sz w:val="20"/>
          <w:szCs w:val="20"/>
        </w:rPr>
      </w:pPr>
      <w:r>
        <w:rPr>
          <w:i/>
          <w:sz w:val="20"/>
          <w:szCs w:val="20"/>
        </w:rPr>
        <w:t>Washington State Auditor’s Office                                                                                                               Page 9</w:t>
      </w:r>
    </w:p>
    <w:p w14:paraId="16574B03" w14:textId="77777777" w:rsidR="005C3D83" w:rsidRDefault="005C3D83" w:rsidP="007757D6">
      <w:pPr>
        <w:rPr>
          <w:sz w:val="22"/>
          <w:szCs w:val="22"/>
        </w:rPr>
      </w:pPr>
    </w:p>
    <w:p w14:paraId="2DE571A1" w14:textId="4D20276E" w:rsidR="005C3D83" w:rsidRDefault="00EA3E1E" w:rsidP="007757D6">
      <w:pPr>
        <w:rPr>
          <w:sz w:val="22"/>
          <w:szCs w:val="22"/>
        </w:rPr>
      </w:pPr>
      <w:r w:rsidRPr="00EA3E1E">
        <w:rPr>
          <w:noProof/>
          <w:sz w:val="22"/>
          <w:szCs w:val="22"/>
        </w:rPr>
        <w:lastRenderedPageBreak/>
        <w:drawing>
          <wp:inline distT="0" distB="0" distL="0" distR="0" wp14:anchorId="47307ABE" wp14:editId="7C1502FA">
            <wp:extent cx="1171575" cy="438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438150"/>
                    </a:xfrm>
                    <a:prstGeom prst="rect">
                      <a:avLst/>
                    </a:prstGeom>
                    <a:noFill/>
                    <a:ln>
                      <a:noFill/>
                    </a:ln>
                  </pic:spPr>
                </pic:pic>
              </a:graphicData>
            </a:graphic>
          </wp:inline>
        </w:drawing>
      </w:r>
    </w:p>
    <w:p w14:paraId="13BD22E8" w14:textId="77777777" w:rsidR="00EA3E1E" w:rsidRDefault="00EA3E1E" w:rsidP="007757D6">
      <w:pPr>
        <w:rPr>
          <w:sz w:val="22"/>
          <w:szCs w:val="22"/>
        </w:rPr>
      </w:pPr>
      <w:r w:rsidRPr="00EA3E1E">
        <w:rPr>
          <w:sz w:val="22"/>
          <w:szCs w:val="22"/>
        </w:rPr>
        <w:t>Pat McCarthy</w:t>
      </w:r>
    </w:p>
    <w:p w14:paraId="6FCE2622" w14:textId="77777777" w:rsidR="00EA3E1E" w:rsidRDefault="00EA3E1E" w:rsidP="007757D6">
      <w:pPr>
        <w:rPr>
          <w:sz w:val="22"/>
          <w:szCs w:val="22"/>
        </w:rPr>
      </w:pPr>
    </w:p>
    <w:p w14:paraId="689FD9E3" w14:textId="77777777" w:rsidR="00EA3E1E" w:rsidRDefault="00EA3E1E" w:rsidP="007757D6">
      <w:pPr>
        <w:rPr>
          <w:sz w:val="22"/>
          <w:szCs w:val="22"/>
        </w:rPr>
      </w:pPr>
      <w:r w:rsidRPr="00EA3E1E">
        <w:rPr>
          <w:sz w:val="22"/>
          <w:szCs w:val="22"/>
        </w:rPr>
        <w:t>State Auditor</w:t>
      </w:r>
    </w:p>
    <w:p w14:paraId="5299DD0A" w14:textId="77777777" w:rsidR="00EA3E1E" w:rsidRDefault="00EA3E1E" w:rsidP="007757D6">
      <w:pPr>
        <w:rPr>
          <w:sz w:val="22"/>
          <w:szCs w:val="22"/>
        </w:rPr>
      </w:pPr>
    </w:p>
    <w:p w14:paraId="6595957A" w14:textId="03C03B5C" w:rsidR="00EA3E1E" w:rsidRDefault="00EA3E1E" w:rsidP="007757D6">
      <w:pPr>
        <w:rPr>
          <w:sz w:val="22"/>
          <w:szCs w:val="22"/>
        </w:rPr>
      </w:pPr>
      <w:r w:rsidRPr="00EA3E1E">
        <w:rPr>
          <w:sz w:val="22"/>
          <w:szCs w:val="22"/>
        </w:rPr>
        <w:t>Olympia, WA</w:t>
      </w:r>
    </w:p>
    <w:p w14:paraId="00B1EE86" w14:textId="77777777" w:rsidR="00EA3E1E" w:rsidRDefault="00EA3E1E" w:rsidP="007757D6">
      <w:pPr>
        <w:rPr>
          <w:sz w:val="22"/>
          <w:szCs w:val="22"/>
        </w:rPr>
      </w:pPr>
    </w:p>
    <w:p w14:paraId="451843B3" w14:textId="77777777" w:rsidR="00EA3E1E" w:rsidRDefault="00EA3E1E" w:rsidP="007757D6">
      <w:pPr>
        <w:rPr>
          <w:sz w:val="22"/>
          <w:szCs w:val="22"/>
        </w:rPr>
      </w:pPr>
    </w:p>
    <w:p w14:paraId="73C197AE" w14:textId="77777777" w:rsidR="00EA3E1E" w:rsidRDefault="00EA3E1E" w:rsidP="007757D6">
      <w:pPr>
        <w:rPr>
          <w:sz w:val="22"/>
          <w:szCs w:val="22"/>
        </w:rPr>
      </w:pPr>
    </w:p>
    <w:p w14:paraId="4EEA0CA2" w14:textId="35B4AFEF" w:rsidR="00EA3E1E" w:rsidRDefault="00EA3E1E" w:rsidP="007757D6">
      <w:pPr>
        <w:rPr>
          <w:sz w:val="22"/>
          <w:szCs w:val="22"/>
        </w:rPr>
      </w:pPr>
      <w:r w:rsidRPr="00EA3E1E">
        <w:rPr>
          <w:sz w:val="22"/>
          <w:szCs w:val="22"/>
        </w:rPr>
        <w:t>January 4, 2018</w:t>
      </w:r>
    </w:p>
    <w:p w14:paraId="1AB79282" w14:textId="77777777" w:rsidR="00EA3E1E" w:rsidRDefault="00EA3E1E" w:rsidP="007757D6">
      <w:pPr>
        <w:rPr>
          <w:sz w:val="22"/>
          <w:szCs w:val="22"/>
        </w:rPr>
      </w:pPr>
    </w:p>
    <w:p w14:paraId="0F7C5122" w14:textId="77777777" w:rsidR="00EA3E1E" w:rsidRDefault="00EA3E1E" w:rsidP="007757D6">
      <w:pPr>
        <w:rPr>
          <w:sz w:val="22"/>
          <w:szCs w:val="22"/>
        </w:rPr>
      </w:pPr>
    </w:p>
    <w:p w14:paraId="2F4138E7" w14:textId="77777777" w:rsidR="00EA3E1E" w:rsidRDefault="00EA3E1E" w:rsidP="007757D6">
      <w:pPr>
        <w:rPr>
          <w:sz w:val="22"/>
          <w:szCs w:val="22"/>
        </w:rPr>
      </w:pPr>
    </w:p>
    <w:p w14:paraId="7430CE8E" w14:textId="77777777" w:rsidR="00EA3E1E" w:rsidRDefault="00EA3E1E" w:rsidP="007757D6">
      <w:pPr>
        <w:rPr>
          <w:sz w:val="22"/>
          <w:szCs w:val="22"/>
        </w:rPr>
      </w:pPr>
    </w:p>
    <w:p w14:paraId="0F711939" w14:textId="77777777" w:rsidR="00EA3E1E" w:rsidRDefault="00EA3E1E" w:rsidP="007757D6">
      <w:pPr>
        <w:rPr>
          <w:sz w:val="22"/>
          <w:szCs w:val="22"/>
        </w:rPr>
      </w:pPr>
    </w:p>
    <w:p w14:paraId="00E14819" w14:textId="77777777" w:rsidR="00EA3E1E" w:rsidRDefault="00EA3E1E" w:rsidP="007757D6">
      <w:pPr>
        <w:rPr>
          <w:sz w:val="22"/>
          <w:szCs w:val="22"/>
        </w:rPr>
      </w:pPr>
    </w:p>
    <w:p w14:paraId="5D9796E3" w14:textId="77777777" w:rsidR="00EA3E1E" w:rsidRDefault="00EA3E1E" w:rsidP="007757D6">
      <w:pPr>
        <w:rPr>
          <w:sz w:val="22"/>
          <w:szCs w:val="22"/>
        </w:rPr>
      </w:pPr>
    </w:p>
    <w:p w14:paraId="1B8457F6" w14:textId="77777777" w:rsidR="00EA3E1E" w:rsidRDefault="00EA3E1E" w:rsidP="007757D6">
      <w:pPr>
        <w:rPr>
          <w:sz w:val="22"/>
          <w:szCs w:val="22"/>
        </w:rPr>
      </w:pPr>
    </w:p>
    <w:p w14:paraId="3F2F40F9" w14:textId="77777777" w:rsidR="00EA3E1E" w:rsidRDefault="00EA3E1E" w:rsidP="007757D6">
      <w:pPr>
        <w:rPr>
          <w:sz w:val="22"/>
          <w:szCs w:val="22"/>
        </w:rPr>
      </w:pPr>
    </w:p>
    <w:p w14:paraId="12DC6AAC" w14:textId="77777777" w:rsidR="00EA3E1E" w:rsidRDefault="00EA3E1E" w:rsidP="007757D6">
      <w:pPr>
        <w:rPr>
          <w:sz w:val="22"/>
          <w:szCs w:val="22"/>
        </w:rPr>
      </w:pPr>
    </w:p>
    <w:p w14:paraId="2CF516A3" w14:textId="77777777" w:rsidR="00EA3E1E" w:rsidRDefault="00EA3E1E" w:rsidP="007757D6">
      <w:pPr>
        <w:rPr>
          <w:sz w:val="22"/>
          <w:szCs w:val="22"/>
        </w:rPr>
      </w:pPr>
    </w:p>
    <w:p w14:paraId="51723000" w14:textId="77777777" w:rsidR="00EA3E1E" w:rsidRDefault="00EA3E1E" w:rsidP="007757D6">
      <w:pPr>
        <w:rPr>
          <w:sz w:val="22"/>
          <w:szCs w:val="22"/>
        </w:rPr>
      </w:pPr>
    </w:p>
    <w:p w14:paraId="24A8401A" w14:textId="77777777" w:rsidR="00EA3E1E" w:rsidRDefault="00EA3E1E" w:rsidP="007757D6">
      <w:pPr>
        <w:rPr>
          <w:sz w:val="22"/>
          <w:szCs w:val="22"/>
        </w:rPr>
      </w:pPr>
    </w:p>
    <w:p w14:paraId="65AFDF96" w14:textId="77777777" w:rsidR="00EA3E1E" w:rsidRDefault="00EA3E1E" w:rsidP="007757D6">
      <w:pPr>
        <w:rPr>
          <w:sz w:val="22"/>
          <w:szCs w:val="22"/>
        </w:rPr>
      </w:pPr>
    </w:p>
    <w:p w14:paraId="27217BE6" w14:textId="77777777" w:rsidR="00EA3E1E" w:rsidRDefault="00EA3E1E" w:rsidP="007757D6">
      <w:pPr>
        <w:rPr>
          <w:sz w:val="22"/>
          <w:szCs w:val="22"/>
        </w:rPr>
      </w:pPr>
    </w:p>
    <w:p w14:paraId="4A9AEA70" w14:textId="77777777" w:rsidR="00EA3E1E" w:rsidRDefault="00EA3E1E" w:rsidP="007757D6">
      <w:pPr>
        <w:rPr>
          <w:sz w:val="22"/>
          <w:szCs w:val="22"/>
        </w:rPr>
      </w:pPr>
    </w:p>
    <w:p w14:paraId="3420BA42" w14:textId="77777777" w:rsidR="00EA3E1E" w:rsidRDefault="00EA3E1E" w:rsidP="007757D6">
      <w:pPr>
        <w:rPr>
          <w:sz w:val="22"/>
          <w:szCs w:val="22"/>
        </w:rPr>
      </w:pPr>
    </w:p>
    <w:p w14:paraId="66963B35" w14:textId="77777777" w:rsidR="00EA3E1E" w:rsidRDefault="00EA3E1E" w:rsidP="007757D6">
      <w:pPr>
        <w:rPr>
          <w:sz w:val="22"/>
          <w:szCs w:val="22"/>
        </w:rPr>
      </w:pPr>
    </w:p>
    <w:p w14:paraId="2C6A5A2A" w14:textId="77777777" w:rsidR="00EA3E1E" w:rsidRDefault="00EA3E1E" w:rsidP="007757D6">
      <w:pPr>
        <w:rPr>
          <w:sz w:val="22"/>
          <w:szCs w:val="22"/>
        </w:rPr>
      </w:pPr>
    </w:p>
    <w:p w14:paraId="0711C50B" w14:textId="77777777" w:rsidR="00EA3E1E" w:rsidRDefault="00EA3E1E" w:rsidP="007757D6">
      <w:pPr>
        <w:rPr>
          <w:sz w:val="22"/>
          <w:szCs w:val="22"/>
        </w:rPr>
      </w:pPr>
    </w:p>
    <w:p w14:paraId="4FC0EAEC" w14:textId="77777777" w:rsidR="00EA3E1E" w:rsidRDefault="00EA3E1E" w:rsidP="007757D6">
      <w:pPr>
        <w:rPr>
          <w:sz w:val="22"/>
          <w:szCs w:val="22"/>
        </w:rPr>
      </w:pPr>
    </w:p>
    <w:p w14:paraId="370134DB" w14:textId="77777777" w:rsidR="00EA3E1E" w:rsidRDefault="00EA3E1E" w:rsidP="007757D6">
      <w:pPr>
        <w:rPr>
          <w:sz w:val="22"/>
          <w:szCs w:val="22"/>
        </w:rPr>
      </w:pPr>
    </w:p>
    <w:p w14:paraId="44557639" w14:textId="77777777" w:rsidR="00EA3E1E" w:rsidRDefault="00EA3E1E" w:rsidP="007757D6">
      <w:pPr>
        <w:rPr>
          <w:sz w:val="22"/>
          <w:szCs w:val="22"/>
        </w:rPr>
      </w:pPr>
    </w:p>
    <w:p w14:paraId="1DA5392F" w14:textId="77777777" w:rsidR="00EA3E1E" w:rsidRDefault="00EA3E1E" w:rsidP="007757D6">
      <w:pPr>
        <w:rPr>
          <w:sz w:val="22"/>
          <w:szCs w:val="22"/>
        </w:rPr>
      </w:pPr>
    </w:p>
    <w:p w14:paraId="668F76B2" w14:textId="77777777" w:rsidR="00EA3E1E" w:rsidRDefault="00EA3E1E" w:rsidP="007757D6">
      <w:pPr>
        <w:rPr>
          <w:sz w:val="22"/>
          <w:szCs w:val="22"/>
        </w:rPr>
      </w:pPr>
    </w:p>
    <w:p w14:paraId="28C97477" w14:textId="77777777" w:rsidR="00EA3E1E" w:rsidRDefault="00EA3E1E" w:rsidP="007757D6">
      <w:pPr>
        <w:rPr>
          <w:sz w:val="22"/>
          <w:szCs w:val="22"/>
        </w:rPr>
      </w:pPr>
    </w:p>
    <w:p w14:paraId="5385BEFD" w14:textId="77777777" w:rsidR="00EA3E1E" w:rsidRDefault="00EA3E1E" w:rsidP="007757D6">
      <w:pPr>
        <w:rPr>
          <w:sz w:val="22"/>
          <w:szCs w:val="22"/>
        </w:rPr>
      </w:pPr>
    </w:p>
    <w:p w14:paraId="4CFCCDDF" w14:textId="77777777" w:rsidR="00EA3E1E" w:rsidRDefault="00EA3E1E" w:rsidP="007757D6">
      <w:pPr>
        <w:rPr>
          <w:sz w:val="22"/>
          <w:szCs w:val="22"/>
        </w:rPr>
      </w:pPr>
    </w:p>
    <w:p w14:paraId="1972B550" w14:textId="77777777" w:rsidR="00EA3E1E" w:rsidRDefault="00EA3E1E" w:rsidP="007757D6">
      <w:pPr>
        <w:rPr>
          <w:sz w:val="22"/>
          <w:szCs w:val="22"/>
        </w:rPr>
      </w:pPr>
    </w:p>
    <w:p w14:paraId="60A2749C" w14:textId="77777777" w:rsidR="00EA3E1E" w:rsidRDefault="00EA3E1E" w:rsidP="007757D6">
      <w:pPr>
        <w:rPr>
          <w:sz w:val="22"/>
          <w:szCs w:val="22"/>
        </w:rPr>
      </w:pPr>
    </w:p>
    <w:p w14:paraId="53606780" w14:textId="77777777" w:rsidR="00EA3E1E" w:rsidRDefault="00EA3E1E" w:rsidP="007757D6">
      <w:pPr>
        <w:rPr>
          <w:sz w:val="22"/>
          <w:szCs w:val="22"/>
        </w:rPr>
      </w:pPr>
    </w:p>
    <w:p w14:paraId="346F89BE" w14:textId="77777777" w:rsidR="00EA3E1E" w:rsidRDefault="00EA3E1E" w:rsidP="007757D6">
      <w:pPr>
        <w:rPr>
          <w:sz w:val="22"/>
          <w:szCs w:val="22"/>
        </w:rPr>
      </w:pPr>
    </w:p>
    <w:p w14:paraId="36041B9C" w14:textId="77777777" w:rsidR="00EA3E1E" w:rsidRDefault="00EA3E1E" w:rsidP="007757D6">
      <w:pPr>
        <w:rPr>
          <w:sz w:val="22"/>
          <w:szCs w:val="22"/>
        </w:rPr>
      </w:pPr>
    </w:p>
    <w:p w14:paraId="56A4047D" w14:textId="071134E9" w:rsidR="00EA3E1E" w:rsidRPr="00EA3E1E" w:rsidRDefault="00EA3E1E" w:rsidP="007757D6">
      <w:pPr>
        <w:rPr>
          <w:i/>
          <w:sz w:val="20"/>
          <w:szCs w:val="20"/>
        </w:rPr>
      </w:pPr>
      <w:r w:rsidRPr="00EA3E1E">
        <w:rPr>
          <w:i/>
          <w:sz w:val="20"/>
          <w:szCs w:val="20"/>
        </w:rPr>
        <w:t>Washington State Auditor’s Office</w:t>
      </w:r>
      <w:r>
        <w:rPr>
          <w:i/>
          <w:sz w:val="20"/>
          <w:szCs w:val="20"/>
        </w:rPr>
        <w:t xml:space="preserve">                                                                                                            Page 10</w:t>
      </w:r>
    </w:p>
    <w:p w14:paraId="1C3EA5A0" w14:textId="77777777" w:rsidR="006755B1" w:rsidRPr="008231E8" w:rsidRDefault="006755B1" w:rsidP="006755B1">
      <w:pPr>
        <w:pStyle w:val="Heading1"/>
      </w:pPr>
      <w:bookmarkStart w:id="3" w:name="_Toc370714741"/>
      <w:bookmarkStart w:id="4" w:name="_Toc498672888"/>
      <w:r w:rsidRPr="0056330F">
        <w:rPr>
          <w:color w:val="auto"/>
        </w:rPr>
        <w:lastRenderedPageBreak/>
        <w:t>Management’s Discussion and Analysis</w:t>
      </w:r>
      <w:bookmarkEnd w:id="3"/>
      <w:bookmarkEnd w:id="4"/>
    </w:p>
    <w:p w14:paraId="2A649A42" w14:textId="77777777" w:rsidR="006755B1" w:rsidRDefault="006755B1" w:rsidP="006755B1"/>
    <w:p w14:paraId="707E931E" w14:textId="77777777" w:rsidR="006755B1" w:rsidRPr="0056330F" w:rsidRDefault="006755B1" w:rsidP="006755B1">
      <w:pPr>
        <w:pStyle w:val="Heading2"/>
        <w:rPr>
          <w:color w:val="CC0000"/>
        </w:rPr>
      </w:pPr>
      <w:r w:rsidRPr="0056330F">
        <w:rPr>
          <w:color w:val="CC0000"/>
        </w:rPr>
        <w:t>Skagit Valley College</w:t>
      </w:r>
    </w:p>
    <w:p w14:paraId="42DEC821" w14:textId="77777777" w:rsidR="006755B1" w:rsidRDefault="006755B1" w:rsidP="006755B1">
      <w:pPr>
        <w:jc w:val="both"/>
        <w:outlineLvl w:val="0"/>
      </w:pPr>
      <w:bookmarkStart w:id="5" w:name="_Toc498672889"/>
      <w:r w:rsidRPr="00D157B8">
        <w:t>The following discussion and analysis provides an overview of the financial position and activities of</w:t>
      </w:r>
      <w:r>
        <w:t xml:space="preserve"> Skagit Valley College</w:t>
      </w:r>
      <w:r w:rsidRPr="00D157B8">
        <w:t xml:space="preserve"> (the </w:t>
      </w:r>
      <w:r>
        <w:t>College</w:t>
      </w:r>
      <w:r w:rsidRPr="00D157B8">
        <w:t>) for the fiscal year ended June 30, 201</w:t>
      </w:r>
      <w:r>
        <w:t>7 (FY 2017).</w:t>
      </w:r>
      <w:r w:rsidRPr="00D157B8">
        <w:t xml:space="preserve">  This overview </w:t>
      </w:r>
      <w:r>
        <w:t xml:space="preserve">provides readers with an objective and easily readable analysis of the College’s financial performance for the year, based on currently known facts and conditions.  This discussion </w:t>
      </w:r>
      <w:r w:rsidRPr="00D157B8">
        <w:t xml:space="preserve">has been prepared by management and should be read in conjunction with the </w:t>
      </w:r>
      <w:r>
        <w:t>College’s</w:t>
      </w:r>
      <w:r w:rsidRPr="00D157B8">
        <w:t xml:space="preserve"> financial statements and accompanying note disclosures.</w:t>
      </w:r>
      <w:bookmarkEnd w:id="5"/>
    </w:p>
    <w:p w14:paraId="77B078EB" w14:textId="77777777" w:rsidR="006755B1" w:rsidRPr="00D157B8" w:rsidRDefault="006755B1" w:rsidP="006755B1">
      <w:pPr>
        <w:jc w:val="both"/>
        <w:outlineLvl w:val="0"/>
        <w:rPr>
          <w:rFonts w:cs="Times New Roman"/>
        </w:rPr>
      </w:pPr>
    </w:p>
    <w:p w14:paraId="481BD4E5" w14:textId="77777777" w:rsidR="006755B1" w:rsidRPr="00D157B8" w:rsidRDefault="006755B1" w:rsidP="006755B1">
      <w:pPr>
        <w:autoSpaceDE w:val="0"/>
        <w:autoSpaceDN w:val="0"/>
        <w:adjustRightInd w:val="0"/>
        <w:rPr>
          <w:rFonts w:cs="Times New Roman"/>
          <w:i/>
          <w:iCs/>
        </w:rPr>
      </w:pPr>
      <w:r w:rsidRPr="00D157B8">
        <w:rPr>
          <w:rFonts w:cs="Times New Roman"/>
          <w:i/>
          <w:iCs/>
        </w:rPr>
        <w:t>Reporting Entity</w:t>
      </w:r>
    </w:p>
    <w:p w14:paraId="6EC3230A" w14:textId="77777777" w:rsidR="006755B1" w:rsidRDefault="006755B1" w:rsidP="006755B1">
      <w:pPr>
        <w:autoSpaceDE w:val="0"/>
        <w:autoSpaceDN w:val="0"/>
        <w:adjustRightInd w:val="0"/>
        <w:rPr>
          <w:rFonts w:cs="Times New Roman"/>
        </w:rPr>
      </w:pPr>
      <w:r>
        <w:rPr>
          <w:rFonts w:cs="Times New Roman"/>
        </w:rPr>
        <w:t xml:space="preserve">Skagit Valley </w:t>
      </w:r>
      <w:r w:rsidRPr="00D157B8">
        <w:rPr>
          <w:rFonts w:cs="Times New Roman"/>
        </w:rPr>
        <w:t xml:space="preserve">College is one of </w:t>
      </w:r>
      <w:r>
        <w:rPr>
          <w:rFonts w:cs="Times New Roman"/>
        </w:rPr>
        <w:t>thirty</w:t>
      </w:r>
      <w:r w:rsidRPr="00D157B8">
        <w:rPr>
          <w:rFonts w:cs="Times New Roman"/>
        </w:rPr>
        <w:t xml:space="preserve"> </w:t>
      </w:r>
      <w:r>
        <w:rPr>
          <w:rFonts w:cs="Times New Roman"/>
        </w:rPr>
        <w:t>public community and technical college districts</w:t>
      </w:r>
      <w:r w:rsidRPr="00D157B8">
        <w:rPr>
          <w:rFonts w:cs="Times New Roman"/>
        </w:rPr>
        <w:t xml:space="preserve"> in the state of</w:t>
      </w:r>
      <w:r>
        <w:rPr>
          <w:rFonts w:cs="Times New Roman"/>
        </w:rPr>
        <w:t xml:space="preserve"> </w:t>
      </w:r>
      <w:r w:rsidRPr="00D157B8">
        <w:rPr>
          <w:rFonts w:cs="Times New Roman"/>
        </w:rPr>
        <w:t xml:space="preserve">Washington, providing </w:t>
      </w:r>
      <w:r>
        <w:rPr>
          <w:rFonts w:cs="Times New Roman"/>
        </w:rPr>
        <w:t xml:space="preserve">comprehensive, open-door academic programs, workforce education, basic skills and community service </w:t>
      </w:r>
      <w:r w:rsidRPr="00D157B8">
        <w:rPr>
          <w:rFonts w:cs="Times New Roman"/>
        </w:rPr>
        <w:t xml:space="preserve">educational programs to </w:t>
      </w:r>
      <w:r w:rsidRPr="005E7EBD">
        <w:rPr>
          <w:rFonts w:cs="Times New Roman"/>
        </w:rPr>
        <w:t xml:space="preserve">approximately 9,000 </w:t>
      </w:r>
      <w:r w:rsidRPr="00D157B8">
        <w:rPr>
          <w:rFonts w:cs="Times New Roman"/>
        </w:rPr>
        <w:t xml:space="preserve">students. </w:t>
      </w:r>
      <w:r>
        <w:rPr>
          <w:rFonts w:cs="Times New Roman"/>
        </w:rPr>
        <w:t xml:space="preserve"> The College </w:t>
      </w:r>
      <w:r w:rsidRPr="00857A5D">
        <w:rPr>
          <w:rFonts w:cs="Times New Roman"/>
        </w:rPr>
        <w:t>confers applied baccalaureate degrees,</w:t>
      </w:r>
      <w:r>
        <w:rPr>
          <w:rFonts w:cs="Times New Roman"/>
          <w:i/>
        </w:rPr>
        <w:t xml:space="preserve"> </w:t>
      </w:r>
      <w:r>
        <w:rPr>
          <w:rFonts w:cs="Times New Roman"/>
        </w:rPr>
        <w:t xml:space="preserve">associates degrees, certificates and high school diplomas.  </w:t>
      </w:r>
      <w:r w:rsidRPr="00D157B8">
        <w:rPr>
          <w:rFonts w:cs="Times New Roman"/>
        </w:rPr>
        <w:t>The</w:t>
      </w:r>
      <w:r>
        <w:rPr>
          <w:rFonts w:cs="Times New Roman"/>
        </w:rPr>
        <w:t xml:space="preserve"> </w:t>
      </w:r>
      <w:r w:rsidRPr="00D157B8">
        <w:rPr>
          <w:rFonts w:cs="Times New Roman"/>
        </w:rPr>
        <w:t xml:space="preserve">College was established in </w:t>
      </w:r>
      <w:r w:rsidRPr="00857A5D">
        <w:rPr>
          <w:rFonts w:cs="Times New Roman"/>
        </w:rPr>
        <w:t>1926</w:t>
      </w:r>
      <w:r>
        <w:rPr>
          <w:rFonts w:cs="Times New Roman"/>
        </w:rPr>
        <w:t xml:space="preserve"> </w:t>
      </w:r>
      <w:r w:rsidRPr="00D157B8">
        <w:rPr>
          <w:rFonts w:cs="Times New Roman"/>
        </w:rPr>
        <w:t>and its primary purpose is to</w:t>
      </w:r>
      <w:r>
        <w:rPr>
          <w:rFonts w:cs="Times New Roman"/>
        </w:rPr>
        <w:t xml:space="preserve"> provide opportunities for students in pursuit of their educational and employment goals, while contributing to the economic and cultural enrichment of it communities.</w:t>
      </w:r>
    </w:p>
    <w:p w14:paraId="4F242C45" w14:textId="77777777" w:rsidR="006755B1" w:rsidRDefault="006755B1" w:rsidP="006755B1">
      <w:pPr>
        <w:autoSpaceDE w:val="0"/>
        <w:autoSpaceDN w:val="0"/>
        <w:adjustRightInd w:val="0"/>
        <w:rPr>
          <w:rFonts w:cs="Times New Roman"/>
        </w:rPr>
      </w:pPr>
    </w:p>
    <w:p w14:paraId="39C333CD" w14:textId="77777777" w:rsidR="006755B1" w:rsidRDefault="006755B1" w:rsidP="006755B1">
      <w:pPr>
        <w:autoSpaceDE w:val="0"/>
        <w:autoSpaceDN w:val="0"/>
        <w:adjustRightInd w:val="0"/>
        <w:rPr>
          <w:rFonts w:cs="Times New Roman"/>
        </w:rPr>
      </w:pPr>
      <w:r w:rsidRPr="00D157B8">
        <w:rPr>
          <w:rFonts w:cs="Times New Roman"/>
        </w:rPr>
        <w:t xml:space="preserve">The College’s </w:t>
      </w:r>
      <w:r>
        <w:rPr>
          <w:rFonts w:cs="Times New Roman"/>
        </w:rPr>
        <w:t>main campus is</w:t>
      </w:r>
      <w:r w:rsidRPr="00D157B8">
        <w:rPr>
          <w:rFonts w:cs="Times New Roman"/>
        </w:rPr>
        <w:t xml:space="preserve"> located in</w:t>
      </w:r>
      <w:r>
        <w:rPr>
          <w:rFonts w:cs="Times New Roman"/>
        </w:rPr>
        <w:t xml:space="preserve"> Mount Vernon</w:t>
      </w:r>
      <w:r w:rsidRPr="00D157B8">
        <w:rPr>
          <w:rFonts w:cs="Times New Roman"/>
        </w:rPr>
        <w:t>, W</w:t>
      </w:r>
      <w:r>
        <w:rPr>
          <w:rFonts w:cs="Times New Roman"/>
        </w:rPr>
        <w:t xml:space="preserve">ashington, a community of about </w:t>
      </w:r>
      <w:r w:rsidRPr="005E7EBD">
        <w:rPr>
          <w:rFonts w:cs="Times New Roman"/>
        </w:rPr>
        <w:t>34,000</w:t>
      </w:r>
      <w:r>
        <w:rPr>
          <w:rFonts w:cs="Times New Roman"/>
        </w:rPr>
        <w:t xml:space="preserve"> residents.  The College operates a second, smaller campus located in Oak Harbor, a city of about 22,000 residents on Whidbey Island.  In addition, the College operates three educational centers – one in Friday Harbor on San Juan Island, another in Clinton at the south end of Whidbey Island, and a Marine Technology Center in Anacortes. </w:t>
      </w:r>
      <w:r w:rsidRPr="00D157B8">
        <w:rPr>
          <w:rFonts w:cs="Times New Roman"/>
        </w:rPr>
        <w:t xml:space="preserve"> </w:t>
      </w:r>
      <w:r>
        <w:rPr>
          <w:rFonts w:cs="Times New Roman"/>
        </w:rPr>
        <w:t xml:space="preserve">The College also operates a Craft Brewing program in Burlington.  </w:t>
      </w:r>
      <w:r w:rsidRPr="00D157B8">
        <w:rPr>
          <w:rFonts w:cs="Times New Roman"/>
        </w:rPr>
        <w:t>The</w:t>
      </w:r>
      <w:r>
        <w:rPr>
          <w:rFonts w:cs="Times New Roman"/>
        </w:rPr>
        <w:t xml:space="preserve"> </w:t>
      </w:r>
      <w:r w:rsidRPr="00D157B8">
        <w:rPr>
          <w:rFonts w:cs="Times New Roman"/>
        </w:rPr>
        <w:t xml:space="preserve">College is governed by a </w:t>
      </w:r>
      <w:r>
        <w:rPr>
          <w:rFonts w:cs="Times New Roman"/>
        </w:rPr>
        <w:t>five</w:t>
      </w:r>
      <w:r w:rsidRPr="00D157B8">
        <w:rPr>
          <w:rFonts w:cs="Times New Roman"/>
        </w:rPr>
        <w:t xml:space="preserve"> member Board of Trustees appointed by the governor of the state with the</w:t>
      </w:r>
      <w:r>
        <w:rPr>
          <w:rFonts w:cs="Times New Roman"/>
        </w:rPr>
        <w:t xml:space="preserve"> </w:t>
      </w:r>
      <w:r w:rsidRPr="00D157B8">
        <w:rPr>
          <w:rFonts w:cs="Times New Roman"/>
        </w:rPr>
        <w:t xml:space="preserve">consent of the state Senate. </w:t>
      </w:r>
      <w:r>
        <w:rPr>
          <w:rFonts w:cs="Times New Roman"/>
        </w:rPr>
        <w:t xml:space="preserve"> </w:t>
      </w:r>
      <w:r w:rsidRPr="00D157B8">
        <w:rPr>
          <w:rFonts w:cs="Times New Roman"/>
        </w:rPr>
        <w:t>By statute, the Board of</w:t>
      </w:r>
      <w:r>
        <w:rPr>
          <w:rFonts w:cs="Times New Roman"/>
        </w:rPr>
        <w:t xml:space="preserve"> </w:t>
      </w:r>
      <w:r w:rsidRPr="00D157B8">
        <w:rPr>
          <w:rFonts w:cs="Times New Roman"/>
        </w:rPr>
        <w:t>Trustees has full control of the College, except as otherwise provided by law.</w:t>
      </w:r>
    </w:p>
    <w:p w14:paraId="10A7060F" w14:textId="77777777" w:rsidR="006755B1" w:rsidRPr="00D157B8" w:rsidRDefault="006755B1" w:rsidP="006755B1">
      <w:pPr>
        <w:autoSpaceDE w:val="0"/>
        <w:autoSpaceDN w:val="0"/>
        <w:adjustRightInd w:val="0"/>
        <w:rPr>
          <w:rFonts w:cs="Times New Roman"/>
        </w:rPr>
      </w:pPr>
    </w:p>
    <w:p w14:paraId="72A024F8" w14:textId="77777777" w:rsidR="006755B1" w:rsidRPr="00D157B8" w:rsidRDefault="006755B1" w:rsidP="006755B1">
      <w:pPr>
        <w:autoSpaceDE w:val="0"/>
        <w:autoSpaceDN w:val="0"/>
        <w:adjustRightInd w:val="0"/>
        <w:rPr>
          <w:rFonts w:cs="Times New Roman"/>
          <w:i/>
          <w:iCs/>
        </w:rPr>
      </w:pPr>
      <w:r w:rsidRPr="00D157B8">
        <w:rPr>
          <w:rFonts w:cs="Times New Roman"/>
          <w:i/>
          <w:iCs/>
        </w:rPr>
        <w:t>Using the Financial Statements</w:t>
      </w:r>
    </w:p>
    <w:p w14:paraId="04B72ECA" w14:textId="77777777" w:rsidR="006755B1" w:rsidRDefault="006755B1" w:rsidP="006755B1">
      <w:pPr>
        <w:autoSpaceDE w:val="0"/>
        <w:autoSpaceDN w:val="0"/>
        <w:adjustRightInd w:val="0"/>
        <w:rPr>
          <w:rFonts w:cs="Times New Roman"/>
        </w:rPr>
      </w:pPr>
      <w:r w:rsidRPr="00D157B8">
        <w:rPr>
          <w:rFonts w:cs="Times New Roman"/>
        </w:rPr>
        <w:t xml:space="preserve">The </w:t>
      </w:r>
      <w:r>
        <w:rPr>
          <w:rFonts w:cs="Times New Roman"/>
        </w:rPr>
        <w:t xml:space="preserve">financial statements presented in this report encompass the College and its discretely presented component unit, its Foundation.  The </w:t>
      </w:r>
      <w:r w:rsidRPr="00D157B8">
        <w:rPr>
          <w:rFonts w:cs="Times New Roman"/>
        </w:rPr>
        <w:t>College</w:t>
      </w:r>
      <w:r>
        <w:rPr>
          <w:rFonts w:cs="Times New Roman"/>
        </w:rPr>
        <w:t>’s financial statements include the Statement of Net Position; the Statement of Revenues, Expenses and Changes in Net Position, and the Statement of Cash Flows.  The Statement of Net Position provides information about the College as of June 30, 2017.  The Statement of Revenue, Expenses and Changes in Net Position and the Statement of Cash flows provide information about operations and activities over the entire fiscal year.  Together, these statements, along with the accompanying notes, provide a comprehensive way to assess the college’s financial health.</w:t>
      </w:r>
    </w:p>
    <w:p w14:paraId="028AB60E" w14:textId="77777777" w:rsidR="006755B1" w:rsidRDefault="006755B1" w:rsidP="006755B1">
      <w:pPr>
        <w:autoSpaceDE w:val="0"/>
        <w:autoSpaceDN w:val="0"/>
        <w:adjustRightInd w:val="0"/>
        <w:rPr>
          <w:rFonts w:cs="Times New Roman"/>
        </w:rPr>
      </w:pPr>
    </w:p>
    <w:p w14:paraId="1E76F32E" w14:textId="351E50B7" w:rsidR="006755B1" w:rsidRDefault="006755B1" w:rsidP="006755B1">
      <w:pPr>
        <w:autoSpaceDE w:val="0"/>
        <w:autoSpaceDN w:val="0"/>
        <w:adjustRightInd w:val="0"/>
        <w:rPr>
          <w:rFonts w:cs="Times New Roman"/>
        </w:rPr>
      </w:pPr>
      <w:r>
        <w:rPr>
          <w:rFonts w:cs="Times New Roman"/>
        </w:rPr>
        <w:t>The Statement of Net Position and Statement of Revenues, Expenses and Changes in Net position are reported under the accrual basis of accounting where all of the current year’s</w:t>
      </w:r>
      <w:r w:rsidR="0056330F">
        <w:rPr>
          <w:rFonts w:cs="Times New Roman"/>
        </w:rPr>
        <w:t xml:space="preserve"> </w:t>
      </w:r>
      <w:r>
        <w:rPr>
          <w:rFonts w:cs="Times New Roman"/>
        </w:rPr>
        <w:t xml:space="preserve">revenues and expenses are taken into account regardless of when cash is received or payments </w:t>
      </w:r>
      <w:r>
        <w:rPr>
          <w:rFonts w:cs="Times New Roman"/>
        </w:rPr>
        <w:lastRenderedPageBreak/>
        <w:t xml:space="preserve">are made.  Full accrual statements are intended to provide a view of the College’s financial position similar to that presented by most private-sector companies.  These financial statements are prepared in accordance with generally accepted accounting principles as prescribed by the </w:t>
      </w:r>
      <w:r w:rsidRPr="00D157B8">
        <w:rPr>
          <w:rFonts w:cs="Times New Roman"/>
        </w:rPr>
        <w:t>Governmental Accounting Standards Board (GASB)</w:t>
      </w:r>
      <w:r>
        <w:rPr>
          <w:rFonts w:cs="Times New Roman"/>
        </w:rPr>
        <w:t>, which establishes standards for external financial reporting for public colleges and universities.  The full scope of the College’s activities is considered to be a single business-type activity and accordingly, is reported within a single column in the basic financial statements.</w:t>
      </w:r>
    </w:p>
    <w:p w14:paraId="545BF91D" w14:textId="77777777" w:rsidR="006755B1" w:rsidRDefault="006755B1" w:rsidP="006755B1">
      <w:pPr>
        <w:autoSpaceDE w:val="0"/>
        <w:autoSpaceDN w:val="0"/>
        <w:adjustRightInd w:val="0"/>
        <w:rPr>
          <w:rFonts w:cs="Times New Roman"/>
        </w:rPr>
      </w:pPr>
    </w:p>
    <w:p w14:paraId="6770B05D" w14:textId="77777777" w:rsidR="006755B1" w:rsidRDefault="006755B1" w:rsidP="006755B1">
      <w:pPr>
        <w:autoSpaceDE w:val="0"/>
        <w:autoSpaceDN w:val="0"/>
        <w:adjustRightInd w:val="0"/>
        <w:rPr>
          <w:rFonts w:cs="Times New Roman"/>
        </w:rPr>
      </w:pPr>
      <w:r>
        <w:rPr>
          <w:rFonts w:cs="Times New Roman"/>
        </w:rPr>
        <w:t xml:space="preserve">During 2017, the College adopted GASB Statement No. 73, </w:t>
      </w:r>
      <w:r w:rsidRPr="008D2FE4">
        <w:rPr>
          <w:rFonts w:cs="Times New Roman"/>
          <w:i/>
        </w:rPr>
        <w:t>Accounting and Financial Reporting for Pensions and Related Assets That Are Not within the Scope of GASB Statement 68, and Amendments to Certain Provisions of GASB Statements 67 and 68 as amended by GASB Statement No. 71.</w:t>
      </w:r>
      <w:r>
        <w:rPr>
          <w:rFonts w:cs="Times New Roman"/>
        </w:rPr>
        <w:t xml:space="preserve">  </w:t>
      </w:r>
      <w:r w:rsidRPr="002207C6">
        <w:rPr>
          <w:rFonts w:cs="Times New Roman"/>
        </w:rPr>
        <w:t>It establishes financial reporting requirements for defined benefit pensions that are provided to employees of state and local governmental employers and that are not administered through trusts or equivalent arrangements and therefore outside the scope of Statement 68</w:t>
      </w:r>
      <w:r>
        <w:rPr>
          <w:rFonts w:cs="Times New Roman"/>
        </w:rPr>
        <w:t xml:space="preserve">. The College is required to record its proportionate share of net pension liabilities, deferred inflows, pension expense and benefit payments. The change in accounting principle resulted in an additional amount of $3,302,493 </w:t>
      </w:r>
      <w:r w:rsidRPr="00D7246E">
        <w:rPr>
          <w:rFonts w:cs="Times New Roman"/>
        </w:rPr>
        <w:t>in pension liability.</w:t>
      </w:r>
    </w:p>
    <w:p w14:paraId="692AD007" w14:textId="77777777" w:rsidR="006755B1" w:rsidRDefault="006755B1" w:rsidP="006755B1">
      <w:pPr>
        <w:autoSpaceDE w:val="0"/>
        <w:autoSpaceDN w:val="0"/>
        <w:adjustRightInd w:val="0"/>
        <w:rPr>
          <w:rFonts w:cs="Times New Roman"/>
        </w:rPr>
      </w:pPr>
    </w:p>
    <w:p w14:paraId="2A7B7A21" w14:textId="77777777" w:rsidR="006755B1" w:rsidRPr="00165568" w:rsidRDefault="006755B1" w:rsidP="006755B1">
      <w:pPr>
        <w:autoSpaceDE w:val="0"/>
        <w:autoSpaceDN w:val="0"/>
        <w:adjustRightInd w:val="0"/>
        <w:rPr>
          <w:rFonts w:cs="Times New Roman"/>
          <w:b/>
        </w:rPr>
      </w:pPr>
      <w:r w:rsidRPr="00165568">
        <w:rPr>
          <w:rFonts w:cs="Times New Roman"/>
          <w:b/>
        </w:rPr>
        <w:t>Statement of Net Position</w:t>
      </w:r>
    </w:p>
    <w:p w14:paraId="5E0918CE" w14:textId="77777777" w:rsidR="006755B1" w:rsidRDefault="006755B1" w:rsidP="006755B1">
      <w:pPr>
        <w:autoSpaceDE w:val="0"/>
        <w:autoSpaceDN w:val="0"/>
        <w:adjustRightInd w:val="0"/>
        <w:rPr>
          <w:rFonts w:cs="Times New Roman"/>
        </w:rPr>
      </w:pPr>
      <w:r>
        <w:rPr>
          <w:rFonts w:cs="Times New Roman"/>
        </w:rPr>
        <w:t>The Statement</w:t>
      </w:r>
      <w:r w:rsidRPr="00F7213E">
        <w:rPr>
          <w:rFonts w:cs="Times New Roman"/>
        </w:rPr>
        <w:t xml:space="preserve"> of Net </w:t>
      </w:r>
      <w:r>
        <w:rPr>
          <w:rFonts w:cs="Times New Roman"/>
        </w:rPr>
        <w:t>Position</w:t>
      </w:r>
      <w:r w:rsidRPr="00F7213E">
        <w:rPr>
          <w:rFonts w:cs="Times New Roman"/>
        </w:rPr>
        <w:t xml:space="preserve"> provide</w:t>
      </w:r>
      <w:r>
        <w:rPr>
          <w:rFonts w:cs="Times New Roman"/>
        </w:rPr>
        <w:t>s</w:t>
      </w:r>
      <w:r w:rsidRPr="00F7213E">
        <w:rPr>
          <w:rFonts w:cs="Times New Roman"/>
        </w:rPr>
        <w:t xml:space="preserve"> information about the College’s financial position, and presents the</w:t>
      </w:r>
      <w:r>
        <w:rPr>
          <w:rFonts w:cs="Times New Roman"/>
        </w:rPr>
        <w:t xml:space="preserve"> </w:t>
      </w:r>
      <w:r w:rsidRPr="00F7213E">
        <w:rPr>
          <w:rFonts w:cs="Times New Roman"/>
        </w:rPr>
        <w:t xml:space="preserve">College’s assets, liabilities, and net </w:t>
      </w:r>
      <w:r>
        <w:rPr>
          <w:rFonts w:cs="Times New Roman"/>
        </w:rPr>
        <w:t>position</w:t>
      </w:r>
      <w:r w:rsidRPr="00F7213E">
        <w:rPr>
          <w:rFonts w:cs="Times New Roman"/>
        </w:rPr>
        <w:t xml:space="preserve"> at year-end. </w:t>
      </w:r>
      <w:r>
        <w:rPr>
          <w:rFonts w:cs="Times New Roman"/>
        </w:rPr>
        <w:t xml:space="preserve"> A condensed comparison of the </w:t>
      </w:r>
      <w:r w:rsidRPr="00F7213E">
        <w:rPr>
          <w:rFonts w:cs="Times New Roman"/>
        </w:rPr>
        <w:t xml:space="preserve">Statement of Net </w:t>
      </w:r>
      <w:r>
        <w:rPr>
          <w:rFonts w:cs="Times New Roman"/>
        </w:rPr>
        <w:t>Position is as follows:</w:t>
      </w:r>
    </w:p>
    <w:p w14:paraId="1E09885B" w14:textId="77777777" w:rsidR="006755B1" w:rsidRDefault="006755B1" w:rsidP="006755B1">
      <w:pPr>
        <w:autoSpaceDE w:val="0"/>
        <w:autoSpaceDN w:val="0"/>
        <w:adjustRightInd w:val="0"/>
        <w:rPr>
          <w:rFonts w:cs="Times New Roman"/>
        </w:rPr>
      </w:pPr>
    </w:p>
    <w:bookmarkStart w:id="6" w:name="_MON_1453979102"/>
    <w:bookmarkEnd w:id="6"/>
    <w:p w14:paraId="6EC0C5A6" w14:textId="508CFC98" w:rsidR="006755B1" w:rsidRDefault="007856F1" w:rsidP="00946F01">
      <w:pPr>
        <w:autoSpaceDE w:val="0"/>
        <w:autoSpaceDN w:val="0"/>
        <w:adjustRightInd w:val="0"/>
        <w:rPr>
          <w:rFonts w:cs="Times New Roman"/>
        </w:rPr>
      </w:pPr>
      <w:r w:rsidRPr="00C41CE8">
        <w:object w:dxaOrig="7947" w:dyaOrig="4389" w14:anchorId="6B95177F">
          <v:shape id="_x0000_i1027" type="#_x0000_t75" style="width:398.25pt;height:245.25pt" o:ole="">
            <v:imagedata r:id="rId16" o:title=""/>
            <o:lock v:ext="edit" aspectratio="f"/>
          </v:shape>
          <o:OLEObject Type="Embed" ProgID="Excel.Sheet.12" ShapeID="_x0000_i1027" DrawAspect="Content" ObjectID="_1577870051" r:id="rId17"/>
        </w:object>
      </w:r>
      <w:r w:rsidR="006755B1">
        <w:br/>
      </w:r>
      <w:r w:rsidR="006755B1">
        <w:br/>
      </w:r>
      <w:r w:rsidR="006755B1" w:rsidRPr="00A2485B">
        <w:rPr>
          <w:rFonts w:cs="Times New Roman"/>
        </w:rPr>
        <w:lastRenderedPageBreak/>
        <w:t>Current assets consist</w:t>
      </w:r>
      <w:r w:rsidR="006755B1" w:rsidRPr="00F7213E">
        <w:rPr>
          <w:rFonts w:cs="Times New Roman"/>
        </w:rPr>
        <w:t xml:space="preserve"> primarily of cash, investments, various accounts receivables and inventories. </w:t>
      </w:r>
      <w:r w:rsidR="006755B1">
        <w:rPr>
          <w:rFonts w:cs="Times New Roman"/>
        </w:rPr>
        <w:t xml:space="preserve"> </w:t>
      </w:r>
      <w:r w:rsidR="006755B1" w:rsidRPr="00F7213E">
        <w:rPr>
          <w:rFonts w:cs="Times New Roman"/>
        </w:rPr>
        <w:t xml:space="preserve">The </w:t>
      </w:r>
      <w:r w:rsidR="006755B1">
        <w:rPr>
          <w:rFonts w:cs="Times New Roman"/>
        </w:rPr>
        <w:t xml:space="preserve">modest decrease of current assets in FY 2017 </w:t>
      </w:r>
      <w:r w:rsidR="006755B1" w:rsidRPr="00F7213E">
        <w:rPr>
          <w:rFonts w:cs="Times New Roman"/>
        </w:rPr>
        <w:t>can be attributed</w:t>
      </w:r>
      <w:r w:rsidR="006755B1">
        <w:rPr>
          <w:rFonts w:cs="Times New Roman"/>
        </w:rPr>
        <w:t xml:space="preserve"> to a decrease in cash and a decrease in short-term investments.  The decrease in short-term investments is from an investment maturity that was not renewed.  Instead, the investment was deposited in our Local Government Investment Pool, which is included in cash equivalents.  The decrease in cash during FY 2017 can be attributed to local funding of the College’s share of the Health Care Authority lawsuit settlement payment out of reserves.</w:t>
      </w:r>
    </w:p>
    <w:p w14:paraId="746B7327" w14:textId="77777777" w:rsidR="006755B1" w:rsidRDefault="006755B1" w:rsidP="006755B1">
      <w:pPr>
        <w:autoSpaceDE w:val="0"/>
        <w:autoSpaceDN w:val="0"/>
        <w:adjustRightInd w:val="0"/>
        <w:rPr>
          <w:rFonts w:cs="Times New Roman"/>
        </w:rPr>
      </w:pPr>
    </w:p>
    <w:p w14:paraId="592D9721" w14:textId="77777777" w:rsidR="006755B1" w:rsidRDefault="006755B1" w:rsidP="006755B1">
      <w:pPr>
        <w:autoSpaceDE w:val="0"/>
        <w:autoSpaceDN w:val="0"/>
        <w:adjustRightInd w:val="0"/>
        <w:rPr>
          <w:rFonts w:cs="Times New Roman"/>
        </w:rPr>
      </w:pPr>
      <w:r w:rsidRPr="00585A7D">
        <w:rPr>
          <w:rFonts w:cs="Times New Roman"/>
        </w:rPr>
        <w:t xml:space="preserve">Net capital assets decreased by </w:t>
      </w:r>
      <w:r w:rsidRPr="00BD4DC4">
        <w:rPr>
          <w:rFonts w:cs="Times New Roman"/>
        </w:rPr>
        <w:t>$</w:t>
      </w:r>
      <w:r w:rsidRPr="003D56E0">
        <w:rPr>
          <w:rFonts w:cs="Times New Roman"/>
        </w:rPr>
        <w:t>1,946,422</w:t>
      </w:r>
      <w:r w:rsidRPr="00585A7D">
        <w:rPr>
          <w:rFonts w:cs="Times New Roman"/>
        </w:rPr>
        <w:t xml:space="preserve"> from FY 201</w:t>
      </w:r>
      <w:r>
        <w:rPr>
          <w:rFonts w:cs="Times New Roman"/>
        </w:rPr>
        <w:t>6</w:t>
      </w:r>
      <w:r w:rsidRPr="00585A7D">
        <w:rPr>
          <w:rFonts w:cs="Times New Roman"/>
        </w:rPr>
        <w:t xml:space="preserve"> to FY 201</w:t>
      </w:r>
      <w:r>
        <w:rPr>
          <w:rFonts w:cs="Times New Roman"/>
        </w:rPr>
        <w:t>7</w:t>
      </w:r>
      <w:r w:rsidRPr="00585A7D">
        <w:rPr>
          <w:rFonts w:cs="Times New Roman"/>
        </w:rPr>
        <w:t>.  The decrease is primarily the result of current depreciation expense of $2,6</w:t>
      </w:r>
      <w:r>
        <w:rPr>
          <w:rFonts w:cs="Times New Roman"/>
        </w:rPr>
        <w:t>25,219</w:t>
      </w:r>
      <w:r w:rsidRPr="00585A7D">
        <w:rPr>
          <w:rFonts w:cs="Times New Roman"/>
        </w:rPr>
        <w:t>.  This decrease was offset in part by ongoing acquisitions of capitalizable equipment</w:t>
      </w:r>
      <w:r>
        <w:rPr>
          <w:rFonts w:cs="Times New Roman"/>
        </w:rPr>
        <w:t xml:space="preserve"> and the addition of a building modular for our Head Start program.</w:t>
      </w:r>
    </w:p>
    <w:p w14:paraId="450B9F7C" w14:textId="77777777" w:rsidR="006755B1" w:rsidRDefault="006755B1" w:rsidP="006755B1">
      <w:pPr>
        <w:autoSpaceDE w:val="0"/>
        <w:autoSpaceDN w:val="0"/>
        <w:adjustRightInd w:val="0"/>
        <w:rPr>
          <w:rFonts w:cs="Times New Roman"/>
        </w:rPr>
      </w:pPr>
    </w:p>
    <w:p w14:paraId="69F2315C" w14:textId="77777777" w:rsidR="006755B1" w:rsidRDefault="006755B1" w:rsidP="006755B1">
      <w:pPr>
        <w:autoSpaceDE w:val="0"/>
        <w:autoSpaceDN w:val="0"/>
        <w:adjustRightInd w:val="0"/>
        <w:rPr>
          <w:sz w:val="16"/>
          <w:szCs w:val="16"/>
        </w:rPr>
      </w:pPr>
      <w:r>
        <w:rPr>
          <w:rFonts w:cs="Times New Roman"/>
        </w:rPr>
        <w:t xml:space="preserve">Non-current assets are the long-term portion of certain investments. </w:t>
      </w:r>
    </w:p>
    <w:p w14:paraId="0B5C840C" w14:textId="77777777" w:rsidR="006755B1" w:rsidRPr="00165568" w:rsidRDefault="006755B1" w:rsidP="006755B1">
      <w:pPr>
        <w:autoSpaceDE w:val="0"/>
        <w:autoSpaceDN w:val="0"/>
        <w:adjustRightInd w:val="0"/>
        <w:rPr>
          <w:rFonts w:cs="Times New Roman"/>
        </w:rPr>
      </w:pPr>
    </w:p>
    <w:p w14:paraId="774269DE" w14:textId="77777777" w:rsidR="006755B1" w:rsidRDefault="006755B1" w:rsidP="006755B1">
      <w:pPr>
        <w:autoSpaceDE w:val="0"/>
        <w:autoSpaceDN w:val="0"/>
        <w:adjustRightInd w:val="0"/>
        <w:rPr>
          <w:rFonts w:cs="Times New Roman"/>
        </w:rPr>
      </w:pPr>
      <w:r w:rsidRPr="0051064B">
        <w:rPr>
          <w:rFonts w:cs="Times New Roman"/>
        </w:rPr>
        <w:t xml:space="preserve">Deferred outflows of resources and </w:t>
      </w:r>
      <w:r>
        <w:rPr>
          <w:rFonts w:cs="Times New Roman"/>
        </w:rPr>
        <w:t xml:space="preserve">deferred inflows of resources represent pension-related deferrals associated with the implementation of GASB Statement No. 68 in FY 2015 and Statement No. 73 in FY 2017. The increase in deferred outflows reflect the College’s proportionate share of an increase in the state-wide amounts reported by the DRS due to differences between expected and actual experience related to the actuarial assumptions. The College recorded $1,317,144 in FY 2016 and $1,866,421 in FY2017 of pension-related deferred outflows.  The increase reflects the change in proportionate share. </w:t>
      </w:r>
    </w:p>
    <w:p w14:paraId="49E45B9D" w14:textId="77777777" w:rsidR="006755B1" w:rsidRDefault="006755B1" w:rsidP="006755B1">
      <w:pPr>
        <w:autoSpaceDE w:val="0"/>
        <w:autoSpaceDN w:val="0"/>
        <w:adjustRightInd w:val="0"/>
        <w:rPr>
          <w:rFonts w:cs="Times New Roman"/>
        </w:rPr>
      </w:pPr>
    </w:p>
    <w:p w14:paraId="589B7A83" w14:textId="77777777" w:rsidR="006755B1" w:rsidRDefault="006755B1" w:rsidP="006755B1">
      <w:pPr>
        <w:autoSpaceDE w:val="0"/>
        <w:autoSpaceDN w:val="0"/>
        <w:adjustRightInd w:val="0"/>
        <w:rPr>
          <w:rFonts w:cs="Times New Roman"/>
        </w:rPr>
      </w:pPr>
      <w:r>
        <w:rPr>
          <w:rFonts w:cs="Times New Roman"/>
        </w:rPr>
        <w:t xml:space="preserve">Similarly, the decrease in deferred inflows in 2017 reflects the decrease in </w:t>
      </w:r>
      <w:r w:rsidRPr="004117C3">
        <w:rPr>
          <w:rFonts w:cs="Times New Roman"/>
        </w:rPr>
        <w:t xml:space="preserve">difference between actual and projected investment earnings on the state’s pension plans </w:t>
      </w:r>
      <w:r>
        <w:rPr>
          <w:rFonts w:cs="Times New Roman"/>
        </w:rPr>
        <w:t xml:space="preserve">and also the implementation of GASB Statement No. 73. </w:t>
      </w:r>
    </w:p>
    <w:p w14:paraId="5FB7E3AE" w14:textId="77777777" w:rsidR="006755B1" w:rsidRDefault="006755B1" w:rsidP="006755B1">
      <w:pPr>
        <w:autoSpaceDE w:val="0"/>
        <w:autoSpaceDN w:val="0"/>
        <w:adjustRightInd w:val="0"/>
        <w:rPr>
          <w:rFonts w:cs="Times New Roman"/>
        </w:rPr>
      </w:pPr>
    </w:p>
    <w:p w14:paraId="2CA68039" w14:textId="77777777" w:rsidR="006755B1" w:rsidRDefault="006755B1" w:rsidP="006755B1">
      <w:pPr>
        <w:autoSpaceDE w:val="0"/>
        <w:autoSpaceDN w:val="0"/>
        <w:adjustRightInd w:val="0"/>
        <w:rPr>
          <w:rFonts w:cs="Times New Roman"/>
        </w:rPr>
      </w:pPr>
      <w:r w:rsidRPr="00F20D38">
        <w:rPr>
          <w:rFonts w:cs="Times New Roman"/>
        </w:rPr>
        <w:t>Current liabilities include</w:t>
      </w:r>
      <w:r w:rsidRPr="00F7213E">
        <w:rPr>
          <w:rFonts w:cs="Times New Roman"/>
        </w:rPr>
        <w:t xml:space="preserve"> amounts payable to suppliers for goods and services, accrued payroll and related</w:t>
      </w:r>
      <w:r>
        <w:rPr>
          <w:rFonts w:cs="Times New Roman"/>
        </w:rPr>
        <w:t xml:space="preserve"> </w:t>
      </w:r>
      <w:r w:rsidRPr="00F7213E">
        <w:rPr>
          <w:rFonts w:cs="Times New Roman"/>
        </w:rPr>
        <w:t>liabilities</w:t>
      </w:r>
      <w:r w:rsidRPr="001D759B">
        <w:rPr>
          <w:rFonts w:cs="Times New Roman"/>
        </w:rPr>
        <w:t>, the current portion of Certificate of Participation (COP) debt, deposits</w:t>
      </w:r>
      <w:r w:rsidRPr="00F7213E">
        <w:rPr>
          <w:rFonts w:cs="Times New Roman"/>
        </w:rPr>
        <w:t xml:space="preserve"> held for others and unearned revenue. </w:t>
      </w:r>
      <w:r>
        <w:rPr>
          <w:rFonts w:cs="Times New Roman"/>
        </w:rPr>
        <w:t xml:space="preserve"> </w:t>
      </w:r>
      <w:r w:rsidRPr="00F7213E">
        <w:rPr>
          <w:rFonts w:cs="Times New Roman"/>
        </w:rPr>
        <w:t>Current liabilities can fluctuate from year to</w:t>
      </w:r>
      <w:r>
        <w:rPr>
          <w:rFonts w:cs="Times New Roman"/>
        </w:rPr>
        <w:t xml:space="preserve"> </w:t>
      </w:r>
      <w:r w:rsidRPr="00F7213E">
        <w:rPr>
          <w:rFonts w:cs="Times New Roman"/>
        </w:rPr>
        <w:t xml:space="preserve">year depending on </w:t>
      </w:r>
      <w:r>
        <w:rPr>
          <w:rFonts w:cs="Times New Roman"/>
        </w:rPr>
        <w:t>the timeliness of</w:t>
      </w:r>
      <w:r w:rsidRPr="00F7213E">
        <w:rPr>
          <w:rFonts w:cs="Times New Roman"/>
        </w:rPr>
        <w:t xml:space="preserve"> vendor invoices and </w:t>
      </w:r>
      <w:r>
        <w:rPr>
          <w:rFonts w:cs="Times New Roman"/>
        </w:rPr>
        <w:t>resulting</w:t>
      </w:r>
      <w:r w:rsidRPr="00F7213E">
        <w:rPr>
          <w:rFonts w:cs="Times New Roman"/>
        </w:rPr>
        <w:t xml:space="preserve"> vendor </w:t>
      </w:r>
      <w:r w:rsidRPr="008F41F1">
        <w:rPr>
          <w:rFonts w:cs="Times New Roman"/>
        </w:rPr>
        <w:t>payments, especially in the area of capital asset</w:t>
      </w:r>
      <w:r>
        <w:rPr>
          <w:rFonts w:cs="Times New Roman"/>
        </w:rPr>
        <w:t>s and</w:t>
      </w:r>
      <w:r w:rsidRPr="008F41F1">
        <w:rPr>
          <w:rFonts w:cs="Times New Roman"/>
        </w:rPr>
        <w:t xml:space="preserve"> improvements.</w:t>
      </w:r>
      <w:r>
        <w:rPr>
          <w:rFonts w:cs="Times New Roman"/>
        </w:rPr>
        <w:t xml:space="preserve"> </w:t>
      </w:r>
      <w:r w:rsidRPr="00F7213E">
        <w:rPr>
          <w:rFonts w:cs="Times New Roman"/>
        </w:rPr>
        <w:t xml:space="preserve"> </w:t>
      </w:r>
    </w:p>
    <w:p w14:paraId="0A91E7C6" w14:textId="77777777" w:rsidR="006755B1" w:rsidRDefault="006755B1" w:rsidP="006755B1">
      <w:pPr>
        <w:autoSpaceDE w:val="0"/>
        <w:autoSpaceDN w:val="0"/>
        <w:adjustRightInd w:val="0"/>
        <w:rPr>
          <w:rFonts w:cs="Times New Roman"/>
        </w:rPr>
      </w:pPr>
    </w:p>
    <w:p w14:paraId="1A753AF9" w14:textId="77777777" w:rsidR="006755B1" w:rsidRDefault="006755B1" w:rsidP="006755B1">
      <w:pPr>
        <w:autoSpaceDE w:val="0"/>
        <w:autoSpaceDN w:val="0"/>
        <w:adjustRightInd w:val="0"/>
        <w:rPr>
          <w:rFonts w:cs="Times New Roman"/>
        </w:rPr>
      </w:pPr>
      <w:r w:rsidRPr="00155D5F">
        <w:rPr>
          <w:rFonts w:cs="Times New Roman"/>
        </w:rPr>
        <w:t>The decrease in current liabilities from FY 2016 to FY 2017 is due to the result of the payout related to the settlement of Moore vs. HCA, which was accrued as a liability in FY 2016.</w:t>
      </w:r>
      <w:r w:rsidRPr="00FF3142">
        <w:rPr>
          <w:rFonts w:cs="Times New Roman"/>
        </w:rPr>
        <w:t xml:space="preserve">  </w:t>
      </w:r>
    </w:p>
    <w:p w14:paraId="1E642419" w14:textId="77777777" w:rsidR="006755B1" w:rsidRDefault="006755B1" w:rsidP="006755B1">
      <w:pPr>
        <w:autoSpaceDE w:val="0"/>
        <w:autoSpaceDN w:val="0"/>
        <w:adjustRightInd w:val="0"/>
        <w:rPr>
          <w:rFonts w:cs="Times New Roman"/>
        </w:rPr>
      </w:pPr>
    </w:p>
    <w:p w14:paraId="02C98B0F" w14:textId="77777777" w:rsidR="006755B1" w:rsidRDefault="006755B1" w:rsidP="006755B1">
      <w:pPr>
        <w:autoSpaceDE w:val="0"/>
        <w:autoSpaceDN w:val="0"/>
        <w:adjustRightInd w:val="0"/>
        <w:rPr>
          <w:sz w:val="16"/>
          <w:szCs w:val="16"/>
        </w:rPr>
      </w:pPr>
      <w:r w:rsidRPr="000E2092">
        <w:rPr>
          <w:rFonts w:cs="Times New Roman"/>
        </w:rPr>
        <w:t>Non-current</w:t>
      </w:r>
      <w:r>
        <w:rPr>
          <w:rFonts w:cs="Times New Roman"/>
        </w:rPr>
        <w:t xml:space="preserve"> liabilities primarily consist of the value of vacation and sick leave earned but not yet used by employees </w:t>
      </w:r>
      <w:r w:rsidRPr="001D759B">
        <w:rPr>
          <w:rFonts w:cs="Times New Roman"/>
        </w:rPr>
        <w:t>and the long-term portion of Certificates of Participation debt</w:t>
      </w:r>
      <w:r>
        <w:rPr>
          <w:rFonts w:cs="Times New Roman"/>
        </w:rPr>
        <w:t>.</w:t>
      </w:r>
      <w:r>
        <w:rPr>
          <w:sz w:val="16"/>
          <w:szCs w:val="16"/>
        </w:rPr>
        <w:t xml:space="preserve">  </w:t>
      </w:r>
    </w:p>
    <w:p w14:paraId="08E865DD" w14:textId="77777777" w:rsidR="006755B1" w:rsidRDefault="006755B1" w:rsidP="006755B1">
      <w:pPr>
        <w:autoSpaceDE w:val="0"/>
        <w:autoSpaceDN w:val="0"/>
        <w:adjustRightInd w:val="0"/>
        <w:rPr>
          <w:sz w:val="16"/>
          <w:szCs w:val="16"/>
        </w:rPr>
      </w:pPr>
    </w:p>
    <w:p w14:paraId="56989798" w14:textId="77777777" w:rsidR="006755B1" w:rsidRDefault="006755B1" w:rsidP="006755B1">
      <w:pPr>
        <w:autoSpaceDE w:val="0"/>
        <w:autoSpaceDN w:val="0"/>
        <w:adjustRightInd w:val="0"/>
        <w:rPr>
          <w:rFonts w:cs="Times New Roman"/>
        </w:rPr>
      </w:pPr>
      <w:r>
        <w:rPr>
          <w:rFonts w:cs="Times New Roman"/>
        </w:rPr>
        <w:t>The College’s non-current liabilities increased due to the implementation of GASB Statement 73, reflecting the College’s proportionate share of the pension liability for the State Board Supplemental Retirement Plan.</w:t>
      </w:r>
    </w:p>
    <w:p w14:paraId="36FC778E" w14:textId="77777777" w:rsidR="006755B1" w:rsidRPr="00F7213E" w:rsidRDefault="006755B1" w:rsidP="006755B1">
      <w:pPr>
        <w:autoSpaceDE w:val="0"/>
        <w:autoSpaceDN w:val="0"/>
        <w:adjustRightInd w:val="0"/>
        <w:rPr>
          <w:rFonts w:cs="Times New Roman"/>
        </w:rPr>
      </w:pPr>
    </w:p>
    <w:p w14:paraId="0E8348DF" w14:textId="77777777" w:rsidR="006755B1" w:rsidRDefault="006755B1" w:rsidP="006755B1">
      <w:pPr>
        <w:autoSpaceDE w:val="0"/>
        <w:autoSpaceDN w:val="0"/>
        <w:adjustRightInd w:val="0"/>
        <w:rPr>
          <w:rFonts w:cs="Times New Roman"/>
        </w:rPr>
      </w:pPr>
      <w:r w:rsidRPr="000E2092">
        <w:rPr>
          <w:rFonts w:cs="Times New Roman"/>
        </w:rPr>
        <w:t>Net position represents</w:t>
      </w:r>
      <w:r>
        <w:rPr>
          <w:rFonts w:cs="Times New Roman"/>
        </w:rPr>
        <w:t xml:space="preserve"> </w:t>
      </w:r>
      <w:r w:rsidRPr="00F7213E">
        <w:rPr>
          <w:rFonts w:cs="Times New Roman"/>
        </w:rPr>
        <w:t>the</w:t>
      </w:r>
      <w:r>
        <w:rPr>
          <w:rFonts w:cs="Times New Roman"/>
        </w:rPr>
        <w:t xml:space="preserve"> value of the </w:t>
      </w:r>
      <w:r w:rsidRPr="00F7213E">
        <w:rPr>
          <w:rFonts w:cs="Times New Roman"/>
        </w:rPr>
        <w:t>College’s assets</w:t>
      </w:r>
      <w:r>
        <w:rPr>
          <w:rFonts w:cs="Times New Roman"/>
        </w:rPr>
        <w:t xml:space="preserve"> and deferred outflows </w:t>
      </w:r>
      <w:r w:rsidRPr="00F7213E">
        <w:rPr>
          <w:rFonts w:cs="Times New Roman"/>
        </w:rPr>
        <w:t>after liabilities</w:t>
      </w:r>
      <w:r>
        <w:rPr>
          <w:rFonts w:cs="Times New Roman"/>
        </w:rPr>
        <w:t xml:space="preserve"> and deferred inflows</w:t>
      </w:r>
      <w:r w:rsidRPr="00F7213E">
        <w:rPr>
          <w:rFonts w:cs="Times New Roman"/>
        </w:rPr>
        <w:t xml:space="preserve"> are deducted.</w:t>
      </w:r>
      <w:r>
        <w:rPr>
          <w:rFonts w:cs="Times New Roman"/>
        </w:rPr>
        <w:t xml:space="preserve"> </w:t>
      </w:r>
      <w:r w:rsidRPr="00F7213E">
        <w:rPr>
          <w:rFonts w:cs="Times New Roman"/>
        </w:rPr>
        <w:t xml:space="preserve"> The College</w:t>
      </w:r>
      <w:r>
        <w:rPr>
          <w:rFonts w:cs="Times New Roman"/>
        </w:rPr>
        <w:t xml:space="preserve"> is required by accounting standards to </w:t>
      </w:r>
      <w:r w:rsidRPr="00F7213E">
        <w:rPr>
          <w:rFonts w:cs="Times New Roman"/>
        </w:rPr>
        <w:t xml:space="preserve">report its net </w:t>
      </w:r>
      <w:r>
        <w:rPr>
          <w:rFonts w:cs="Times New Roman"/>
        </w:rPr>
        <w:t>position</w:t>
      </w:r>
      <w:r w:rsidRPr="00F7213E">
        <w:rPr>
          <w:rFonts w:cs="Times New Roman"/>
        </w:rPr>
        <w:t xml:space="preserve"> in four categories:</w:t>
      </w:r>
    </w:p>
    <w:p w14:paraId="5D8F5506" w14:textId="77777777" w:rsidR="006755B1" w:rsidRPr="00F7213E" w:rsidRDefault="006755B1" w:rsidP="006755B1">
      <w:pPr>
        <w:autoSpaceDE w:val="0"/>
        <w:autoSpaceDN w:val="0"/>
        <w:adjustRightInd w:val="0"/>
        <w:rPr>
          <w:rFonts w:cs="Times New Roman"/>
        </w:rPr>
      </w:pPr>
    </w:p>
    <w:p w14:paraId="5EBDA1FE" w14:textId="77777777" w:rsidR="006755B1" w:rsidRPr="00F7213E" w:rsidRDefault="006755B1" w:rsidP="006755B1">
      <w:pPr>
        <w:autoSpaceDE w:val="0"/>
        <w:autoSpaceDN w:val="0"/>
        <w:adjustRightInd w:val="0"/>
        <w:ind w:left="720"/>
        <w:rPr>
          <w:rFonts w:cs="Times New Roman"/>
        </w:rPr>
      </w:pPr>
      <w:r w:rsidRPr="00D51703">
        <w:rPr>
          <w:rFonts w:cs="Times New Roman"/>
          <w:b/>
          <w:bCs/>
          <w:i/>
          <w:iCs/>
        </w:rPr>
        <w:t xml:space="preserve">Net </w:t>
      </w:r>
      <w:r>
        <w:rPr>
          <w:rFonts w:cs="Times New Roman"/>
          <w:b/>
          <w:bCs/>
          <w:i/>
          <w:iCs/>
        </w:rPr>
        <w:t>Invest</w:t>
      </w:r>
      <w:r w:rsidRPr="00D51703">
        <w:rPr>
          <w:rFonts w:cs="Times New Roman"/>
          <w:b/>
          <w:bCs/>
          <w:i/>
          <w:iCs/>
        </w:rPr>
        <w:t>ment</w:t>
      </w:r>
      <w:r>
        <w:rPr>
          <w:rFonts w:cs="Times New Roman"/>
          <w:b/>
          <w:bCs/>
          <w:i/>
          <w:iCs/>
        </w:rPr>
        <w:t xml:space="preserve"> in Capital Assets </w:t>
      </w:r>
      <w:r w:rsidRPr="00D51703">
        <w:rPr>
          <w:rFonts w:cs="Times New Roman"/>
          <w:b/>
          <w:bCs/>
          <w:i/>
          <w:iCs/>
        </w:rPr>
        <w:t xml:space="preserve">– </w:t>
      </w:r>
      <w:r w:rsidRPr="00D51703">
        <w:rPr>
          <w:rFonts w:cs="Times New Roman"/>
        </w:rPr>
        <w:t>The College’s total investment in property, plant, equipment, and infrastructure</w:t>
      </w:r>
      <w:r w:rsidRPr="00F7213E">
        <w:rPr>
          <w:rFonts w:cs="Times New Roman"/>
        </w:rPr>
        <w:t xml:space="preserve"> net of accumulated depreciation and outstanding debt obligations related to</w:t>
      </w:r>
      <w:r>
        <w:rPr>
          <w:rFonts w:cs="Times New Roman"/>
        </w:rPr>
        <w:t xml:space="preserve"> </w:t>
      </w:r>
      <w:r w:rsidRPr="00F7213E">
        <w:rPr>
          <w:rFonts w:cs="Times New Roman"/>
        </w:rPr>
        <w:t>those capital assets</w:t>
      </w:r>
      <w:r w:rsidRPr="00E6307A">
        <w:rPr>
          <w:rFonts w:cs="Times New Roman"/>
        </w:rPr>
        <w:t>.  Changes in these balances are discussed above.</w:t>
      </w:r>
    </w:p>
    <w:p w14:paraId="2BFC6CCF" w14:textId="77777777" w:rsidR="006755B1" w:rsidRDefault="006755B1" w:rsidP="006755B1">
      <w:pPr>
        <w:autoSpaceDE w:val="0"/>
        <w:autoSpaceDN w:val="0"/>
        <w:adjustRightInd w:val="0"/>
        <w:rPr>
          <w:rFonts w:cs="Times New Roman"/>
          <w:b/>
          <w:bCs/>
          <w:i/>
          <w:iCs/>
        </w:rPr>
      </w:pPr>
    </w:p>
    <w:p w14:paraId="0DE70B62" w14:textId="77777777" w:rsidR="006755B1" w:rsidRPr="005B7B4A" w:rsidRDefault="006755B1" w:rsidP="006755B1">
      <w:pPr>
        <w:autoSpaceDE w:val="0"/>
        <w:autoSpaceDN w:val="0"/>
        <w:adjustRightInd w:val="0"/>
        <w:ind w:firstLine="720"/>
        <w:rPr>
          <w:rFonts w:cs="Times New Roman"/>
          <w:b/>
          <w:bCs/>
          <w:i/>
          <w:iCs/>
        </w:rPr>
      </w:pPr>
      <w:r w:rsidRPr="00F7213E">
        <w:rPr>
          <w:rFonts w:cs="Times New Roman"/>
          <w:b/>
          <w:bCs/>
          <w:i/>
          <w:iCs/>
        </w:rPr>
        <w:t>Restricted:</w:t>
      </w:r>
      <w:r>
        <w:rPr>
          <w:rFonts w:cs="Times New Roman"/>
          <w:b/>
          <w:bCs/>
          <w:i/>
          <w:iCs/>
        </w:rPr>
        <w:t xml:space="preserve"> </w:t>
      </w:r>
    </w:p>
    <w:p w14:paraId="73AC5B55" w14:textId="77777777" w:rsidR="006755B1" w:rsidRPr="00CA636A" w:rsidRDefault="006755B1" w:rsidP="006755B1">
      <w:pPr>
        <w:autoSpaceDE w:val="0"/>
        <w:autoSpaceDN w:val="0"/>
        <w:adjustRightInd w:val="0"/>
        <w:ind w:left="1440"/>
        <w:rPr>
          <w:rFonts w:cs="Times New Roman"/>
          <w:i/>
        </w:rPr>
      </w:pPr>
      <w:r w:rsidRPr="00F7213E">
        <w:rPr>
          <w:rFonts w:cs="Times New Roman"/>
          <w:b/>
          <w:bCs/>
          <w:i/>
          <w:iCs/>
        </w:rPr>
        <w:t xml:space="preserve">Expendable – </w:t>
      </w:r>
      <w:r>
        <w:rPr>
          <w:rFonts w:cs="Times New Roman"/>
        </w:rPr>
        <w:t xml:space="preserve">resources </w:t>
      </w:r>
      <w:r w:rsidRPr="00F7213E">
        <w:rPr>
          <w:rFonts w:cs="Times New Roman"/>
        </w:rPr>
        <w:t>the College is legally or contractually obligated to</w:t>
      </w:r>
      <w:r>
        <w:rPr>
          <w:rFonts w:cs="Times New Roman"/>
        </w:rPr>
        <w:t xml:space="preserve"> </w:t>
      </w:r>
      <w:r w:rsidRPr="00F7213E">
        <w:rPr>
          <w:rFonts w:cs="Times New Roman"/>
        </w:rPr>
        <w:t xml:space="preserve">spend in accordance with restrictions placed by donor and/or external parties </w:t>
      </w:r>
      <w:r>
        <w:rPr>
          <w:rFonts w:cs="Times New Roman"/>
        </w:rPr>
        <w:t>who</w:t>
      </w:r>
      <w:r w:rsidRPr="00F7213E">
        <w:rPr>
          <w:rFonts w:cs="Times New Roman"/>
        </w:rPr>
        <w:t xml:space="preserve"> have</w:t>
      </w:r>
      <w:r>
        <w:rPr>
          <w:rFonts w:cs="Times New Roman"/>
        </w:rPr>
        <w:t xml:space="preserve"> </w:t>
      </w:r>
      <w:r w:rsidRPr="00F7213E">
        <w:rPr>
          <w:rFonts w:cs="Times New Roman"/>
        </w:rPr>
        <w:t xml:space="preserve">placed time or purpose restrictions on the use of the asset. </w:t>
      </w:r>
      <w:r>
        <w:rPr>
          <w:rFonts w:cs="Times New Roman"/>
        </w:rPr>
        <w:t xml:space="preserve"> </w:t>
      </w:r>
    </w:p>
    <w:p w14:paraId="3638B694" w14:textId="77777777" w:rsidR="006755B1" w:rsidRPr="00F7213E" w:rsidRDefault="006755B1" w:rsidP="006755B1">
      <w:pPr>
        <w:autoSpaceDE w:val="0"/>
        <w:autoSpaceDN w:val="0"/>
        <w:adjustRightInd w:val="0"/>
        <w:rPr>
          <w:rFonts w:cs="Times New Roman"/>
        </w:rPr>
      </w:pPr>
    </w:p>
    <w:p w14:paraId="38C1186B" w14:textId="77777777" w:rsidR="006755B1" w:rsidRDefault="006755B1" w:rsidP="006755B1">
      <w:pPr>
        <w:autoSpaceDE w:val="0"/>
        <w:autoSpaceDN w:val="0"/>
        <w:adjustRightInd w:val="0"/>
        <w:ind w:left="720"/>
        <w:rPr>
          <w:rFonts w:cs="Times New Roman"/>
        </w:rPr>
      </w:pPr>
      <w:r w:rsidRPr="00F7213E">
        <w:rPr>
          <w:rFonts w:cs="Times New Roman"/>
          <w:b/>
          <w:bCs/>
          <w:i/>
          <w:iCs/>
        </w:rPr>
        <w:t>Unrestricted</w:t>
      </w:r>
      <w:r>
        <w:rPr>
          <w:rFonts w:cs="Times New Roman"/>
          <w:b/>
          <w:bCs/>
          <w:i/>
          <w:iCs/>
        </w:rPr>
        <w:t xml:space="preserve"> </w:t>
      </w:r>
      <w:r w:rsidRPr="00F7213E">
        <w:rPr>
          <w:rFonts w:cs="Times New Roman"/>
          <w:b/>
          <w:bCs/>
          <w:i/>
          <w:iCs/>
        </w:rPr>
        <w:t xml:space="preserve">– </w:t>
      </w:r>
      <w:r>
        <w:rPr>
          <w:rFonts w:cs="Times New Roman"/>
        </w:rPr>
        <w:t>Includes</w:t>
      </w:r>
      <w:r w:rsidRPr="00F7213E">
        <w:rPr>
          <w:rFonts w:cs="Times New Roman"/>
        </w:rPr>
        <w:t xml:space="preserve"> all other </w:t>
      </w:r>
      <w:r>
        <w:rPr>
          <w:rFonts w:cs="Times New Roman"/>
        </w:rPr>
        <w:t>assets</w:t>
      </w:r>
      <w:r w:rsidRPr="00F7213E">
        <w:rPr>
          <w:rFonts w:cs="Times New Roman"/>
        </w:rPr>
        <w:t xml:space="preserve"> </w:t>
      </w:r>
      <w:r>
        <w:rPr>
          <w:rFonts w:cs="Times New Roman"/>
        </w:rPr>
        <w:t xml:space="preserve">not subject to externally imposed restrictions, but which may be designated or obligated for specific purposes by the Board of Trustees or </w:t>
      </w:r>
      <w:r w:rsidRPr="00367E28">
        <w:rPr>
          <w:rFonts w:cs="Times New Roman"/>
        </w:rPr>
        <w:t>management.  Prudent balances are maintained for use as working capital, as a reserve against emergencies and for other purposes, in accordance with policies established by the Board of Trustees.</w:t>
      </w:r>
    </w:p>
    <w:p w14:paraId="62D293BD" w14:textId="77777777" w:rsidR="006755B1" w:rsidRDefault="006755B1" w:rsidP="006755B1">
      <w:pPr>
        <w:autoSpaceDE w:val="0"/>
        <w:autoSpaceDN w:val="0"/>
        <w:adjustRightInd w:val="0"/>
        <w:ind w:left="720"/>
        <w:rPr>
          <w:rFonts w:cs="Times New Roman"/>
          <w:i/>
        </w:rPr>
      </w:pPr>
    </w:p>
    <w:p w14:paraId="437AB5D1" w14:textId="77777777" w:rsidR="006755B1" w:rsidRPr="00155D5F" w:rsidRDefault="006755B1" w:rsidP="006755B1">
      <w:pPr>
        <w:autoSpaceDE w:val="0"/>
        <w:autoSpaceDN w:val="0"/>
        <w:adjustRightInd w:val="0"/>
        <w:ind w:left="720"/>
        <w:rPr>
          <w:rFonts w:cs="Times New Roman"/>
        </w:rPr>
      </w:pPr>
      <w:r>
        <w:rPr>
          <w:rFonts w:cs="Times New Roman"/>
        </w:rPr>
        <w:t xml:space="preserve">As stated earlier, the College’s net position was adjusted </w:t>
      </w:r>
      <w:r w:rsidRPr="00BD4DC4">
        <w:rPr>
          <w:rFonts w:cs="Times New Roman"/>
        </w:rPr>
        <w:t xml:space="preserve">by </w:t>
      </w:r>
      <w:r w:rsidRPr="003D56E0">
        <w:rPr>
          <w:rFonts w:cs="Times New Roman"/>
        </w:rPr>
        <w:t>$3,302,493</w:t>
      </w:r>
      <w:r>
        <w:rPr>
          <w:rFonts w:cs="Times New Roman"/>
        </w:rPr>
        <w:t xml:space="preserve"> to reflect the implementation of GASB Statement No. 73 to report the State Board Retirement Plan pension liability.</w:t>
      </w:r>
    </w:p>
    <w:p w14:paraId="559DEBF1" w14:textId="77777777" w:rsidR="006755B1" w:rsidRDefault="006755B1" w:rsidP="006755B1">
      <w:pPr>
        <w:autoSpaceDE w:val="0"/>
        <w:autoSpaceDN w:val="0"/>
        <w:adjustRightInd w:val="0"/>
        <w:ind w:left="720"/>
        <w:rPr>
          <w:rFonts w:cs="Times New Roman"/>
        </w:rPr>
      </w:pPr>
    </w:p>
    <w:p w14:paraId="26714E4D" w14:textId="77777777" w:rsidR="006755B1" w:rsidRDefault="006755B1" w:rsidP="006755B1">
      <w:pPr>
        <w:autoSpaceDE w:val="0"/>
        <w:autoSpaceDN w:val="0"/>
        <w:adjustRightInd w:val="0"/>
        <w:rPr>
          <w:rFonts w:eastAsiaTheme="majorEastAsia" w:cs="Times New Roman"/>
          <w:b/>
          <w:bCs/>
          <w:color w:val="4F81BD" w:themeColor="accent1"/>
        </w:rPr>
      </w:pPr>
    </w:p>
    <w:bookmarkStart w:id="7" w:name="_MON_1454053928"/>
    <w:bookmarkEnd w:id="7"/>
    <w:p w14:paraId="221C35A8" w14:textId="79CB8739" w:rsidR="006755B1" w:rsidRPr="00CC5807" w:rsidRDefault="007856F1" w:rsidP="00CC5807">
      <w:pPr>
        <w:autoSpaceDE w:val="0"/>
        <w:autoSpaceDN w:val="0"/>
        <w:adjustRightInd w:val="0"/>
        <w:jc w:val="center"/>
        <w:rPr>
          <w:rFonts w:eastAsiaTheme="majorEastAsia" w:cs="Times New Roman"/>
          <w:b/>
          <w:bCs/>
          <w:color w:val="4F81BD" w:themeColor="accent1"/>
        </w:rPr>
      </w:pPr>
      <w:r>
        <w:rPr>
          <w:rFonts w:eastAsiaTheme="majorEastAsia" w:cs="Times New Roman"/>
          <w:b/>
          <w:bCs/>
          <w:color w:val="4F81BD" w:themeColor="accent1"/>
        </w:rPr>
        <w:object w:dxaOrig="9427" w:dyaOrig="2313" w14:anchorId="51B36177">
          <v:shape id="_x0000_i1028" type="#_x0000_t75" style="width:467.25pt;height:146.25pt" o:ole="">
            <v:imagedata r:id="rId18" o:title=""/>
          </v:shape>
          <o:OLEObject Type="Embed" ProgID="Excel.Sheet.12" ShapeID="_x0000_i1028" DrawAspect="Content" ObjectID="_1577870052" r:id="rId19"/>
        </w:object>
      </w:r>
    </w:p>
    <w:p w14:paraId="4E971EFA" w14:textId="77777777" w:rsidR="0056330F" w:rsidRDefault="0056330F" w:rsidP="006755B1">
      <w:pPr>
        <w:autoSpaceDE w:val="0"/>
        <w:autoSpaceDN w:val="0"/>
        <w:adjustRightInd w:val="0"/>
        <w:rPr>
          <w:rFonts w:cs="Times New Roman"/>
          <w:b/>
          <w:iCs/>
        </w:rPr>
      </w:pPr>
    </w:p>
    <w:p w14:paraId="678EF69F" w14:textId="77777777" w:rsidR="0056330F" w:rsidRDefault="0056330F" w:rsidP="006755B1">
      <w:pPr>
        <w:autoSpaceDE w:val="0"/>
        <w:autoSpaceDN w:val="0"/>
        <w:adjustRightInd w:val="0"/>
        <w:rPr>
          <w:rFonts w:cs="Times New Roman"/>
          <w:b/>
          <w:iCs/>
        </w:rPr>
      </w:pPr>
    </w:p>
    <w:p w14:paraId="2F43367D" w14:textId="7EB10162" w:rsidR="006755B1" w:rsidRPr="001D513B" w:rsidRDefault="006755B1" w:rsidP="006755B1">
      <w:pPr>
        <w:autoSpaceDE w:val="0"/>
        <w:autoSpaceDN w:val="0"/>
        <w:adjustRightInd w:val="0"/>
        <w:rPr>
          <w:rFonts w:cs="Times New Roman"/>
          <w:b/>
          <w:iCs/>
        </w:rPr>
      </w:pPr>
      <w:r w:rsidRPr="001D513B">
        <w:rPr>
          <w:rFonts w:cs="Times New Roman"/>
          <w:b/>
          <w:iCs/>
        </w:rPr>
        <w:t>Statement of Revenues, Expenses and Changes in Net Position</w:t>
      </w:r>
    </w:p>
    <w:p w14:paraId="408E25B0" w14:textId="77777777" w:rsidR="006755B1" w:rsidRDefault="006755B1" w:rsidP="006755B1">
      <w:pPr>
        <w:autoSpaceDE w:val="0"/>
        <w:autoSpaceDN w:val="0"/>
        <w:adjustRightInd w:val="0"/>
        <w:rPr>
          <w:rFonts w:cs="Times New Roman"/>
        </w:rPr>
      </w:pPr>
      <w:r w:rsidRPr="001D513B">
        <w:rPr>
          <w:rFonts w:cs="Times New Roman"/>
        </w:rPr>
        <w:t xml:space="preserve">The Statement of Revenues, Expenses and Changes in Net </w:t>
      </w:r>
      <w:r>
        <w:rPr>
          <w:rFonts w:cs="Times New Roman"/>
        </w:rPr>
        <w:t>Position</w:t>
      </w:r>
      <w:r w:rsidRPr="001D513B">
        <w:rPr>
          <w:rFonts w:cs="Times New Roman"/>
        </w:rPr>
        <w:t xml:space="preserve"> </w:t>
      </w:r>
      <w:r>
        <w:rPr>
          <w:rFonts w:cs="Times New Roman"/>
        </w:rPr>
        <w:t xml:space="preserve">accounts for the College’s </w:t>
      </w:r>
      <w:r w:rsidRPr="001D513B">
        <w:rPr>
          <w:rFonts w:cs="Times New Roman"/>
        </w:rPr>
        <w:t xml:space="preserve">changes </w:t>
      </w:r>
      <w:r>
        <w:rPr>
          <w:rFonts w:cs="Times New Roman"/>
        </w:rPr>
        <w:t>in</w:t>
      </w:r>
      <w:r w:rsidRPr="001D513B">
        <w:rPr>
          <w:rFonts w:cs="Times New Roman"/>
        </w:rPr>
        <w:t xml:space="preserve"> total net</w:t>
      </w:r>
      <w:r>
        <w:rPr>
          <w:rFonts w:cs="Times New Roman"/>
        </w:rPr>
        <w:t xml:space="preserve"> position</w:t>
      </w:r>
      <w:r w:rsidRPr="001D513B">
        <w:rPr>
          <w:rFonts w:cs="Times New Roman"/>
        </w:rPr>
        <w:t xml:space="preserve"> </w:t>
      </w:r>
      <w:r>
        <w:rPr>
          <w:rFonts w:cs="Times New Roman"/>
        </w:rPr>
        <w:t xml:space="preserve">during FY </w:t>
      </w:r>
      <w:r w:rsidRPr="000E2092">
        <w:rPr>
          <w:rFonts w:cs="Times New Roman"/>
        </w:rPr>
        <w:t>201</w:t>
      </w:r>
      <w:r>
        <w:rPr>
          <w:rFonts w:cs="Times New Roman"/>
        </w:rPr>
        <w:t>7</w:t>
      </w:r>
      <w:r w:rsidRPr="000E2092">
        <w:rPr>
          <w:rFonts w:cs="Times New Roman"/>
        </w:rPr>
        <w:t>.</w:t>
      </w:r>
      <w:r w:rsidRPr="007F36F0">
        <w:rPr>
          <w:rFonts w:cs="Times New Roman"/>
        </w:rPr>
        <w:t xml:space="preserve">  The</w:t>
      </w:r>
      <w:r w:rsidRPr="001D513B">
        <w:rPr>
          <w:rFonts w:cs="Times New Roman"/>
        </w:rPr>
        <w:t xml:space="preserve"> objective of the statement</w:t>
      </w:r>
      <w:r>
        <w:rPr>
          <w:rFonts w:cs="Times New Roman"/>
        </w:rPr>
        <w:t xml:space="preserve"> is</w:t>
      </w:r>
      <w:r w:rsidRPr="001D513B">
        <w:rPr>
          <w:rFonts w:cs="Times New Roman"/>
        </w:rPr>
        <w:t xml:space="preserve"> to present the </w:t>
      </w:r>
      <w:r w:rsidRPr="001D513B">
        <w:rPr>
          <w:rFonts w:cs="Times New Roman"/>
        </w:rPr>
        <w:lastRenderedPageBreak/>
        <w:t xml:space="preserve">revenues </w:t>
      </w:r>
      <w:r>
        <w:rPr>
          <w:rFonts w:cs="Times New Roman"/>
        </w:rPr>
        <w:t>earned</w:t>
      </w:r>
      <w:r w:rsidRPr="001D513B">
        <w:rPr>
          <w:rFonts w:cs="Times New Roman"/>
        </w:rPr>
        <w:t>, both operating and</w:t>
      </w:r>
      <w:r>
        <w:rPr>
          <w:rFonts w:cs="Times New Roman"/>
        </w:rPr>
        <w:t xml:space="preserve"> </w:t>
      </w:r>
      <w:r w:rsidRPr="001D513B">
        <w:rPr>
          <w:rFonts w:cs="Times New Roman"/>
        </w:rPr>
        <w:t>non-operating, and the expenses paid</w:t>
      </w:r>
      <w:r>
        <w:rPr>
          <w:rFonts w:cs="Times New Roman"/>
        </w:rPr>
        <w:t xml:space="preserve"> or incurred</w:t>
      </w:r>
      <w:r w:rsidRPr="001D513B">
        <w:rPr>
          <w:rFonts w:cs="Times New Roman"/>
        </w:rPr>
        <w:t xml:space="preserve"> by the College, along with any other revenue, expenses, gains and losses</w:t>
      </w:r>
      <w:r>
        <w:rPr>
          <w:rFonts w:cs="Times New Roman"/>
        </w:rPr>
        <w:t xml:space="preserve"> </w:t>
      </w:r>
      <w:r w:rsidRPr="001D513B">
        <w:rPr>
          <w:rFonts w:cs="Times New Roman"/>
        </w:rPr>
        <w:t xml:space="preserve">of the College. </w:t>
      </w:r>
      <w:r>
        <w:rPr>
          <w:rFonts w:cs="Times New Roman"/>
        </w:rPr>
        <w:t xml:space="preserve"> </w:t>
      </w:r>
    </w:p>
    <w:p w14:paraId="2848A755" w14:textId="77777777" w:rsidR="006755B1" w:rsidRDefault="006755B1" w:rsidP="006755B1">
      <w:pPr>
        <w:autoSpaceDE w:val="0"/>
        <w:autoSpaceDN w:val="0"/>
        <w:adjustRightInd w:val="0"/>
        <w:rPr>
          <w:rFonts w:cs="Times New Roman"/>
        </w:rPr>
      </w:pPr>
    </w:p>
    <w:p w14:paraId="06482BEB" w14:textId="77777777" w:rsidR="006755B1" w:rsidRDefault="006755B1" w:rsidP="006755B1">
      <w:pPr>
        <w:autoSpaceDE w:val="0"/>
        <w:autoSpaceDN w:val="0"/>
        <w:adjustRightInd w:val="0"/>
        <w:rPr>
          <w:rFonts w:cs="Times New Roman"/>
        </w:rPr>
      </w:pPr>
      <w:r w:rsidRPr="000E2092">
        <w:rPr>
          <w:rFonts w:cs="Times New Roman"/>
        </w:rPr>
        <w:t>Generally, operating revenues are earned by the College in exchange for providing goods and services.  Tuition, grants and contracts are included in this category.  In contrast</w:t>
      </w:r>
      <w:r>
        <w:rPr>
          <w:rFonts w:cs="Times New Roman"/>
        </w:rPr>
        <w:t xml:space="preserve">, non-operating revenues include monies </w:t>
      </w:r>
      <w:r w:rsidRPr="00633916">
        <w:rPr>
          <w:rFonts w:cs="Times New Roman"/>
        </w:rPr>
        <w:t xml:space="preserve">the college </w:t>
      </w:r>
      <w:r>
        <w:rPr>
          <w:rFonts w:cs="Times New Roman"/>
        </w:rPr>
        <w:t xml:space="preserve">receives from another government </w:t>
      </w:r>
      <w:r w:rsidRPr="00633916">
        <w:rPr>
          <w:rFonts w:cs="Times New Roman"/>
        </w:rPr>
        <w:t>without directly giving equal value</w:t>
      </w:r>
      <w:r>
        <w:rPr>
          <w:rFonts w:cs="Times New Roman"/>
        </w:rPr>
        <w:t xml:space="preserve"> to that government </w:t>
      </w:r>
      <w:r w:rsidRPr="00633916">
        <w:rPr>
          <w:rFonts w:cs="Times New Roman"/>
        </w:rPr>
        <w:t xml:space="preserve">in return.  </w:t>
      </w:r>
      <w:r>
        <w:rPr>
          <w:rFonts w:cs="Times New Roman"/>
        </w:rPr>
        <w:t>Accounting standards require that the College categorize state operating appropriations and Pell Grants as non-operating revenues.</w:t>
      </w:r>
    </w:p>
    <w:p w14:paraId="19C98727" w14:textId="77777777" w:rsidR="006755B1" w:rsidRDefault="006755B1" w:rsidP="006755B1">
      <w:pPr>
        <w:autoSpaceDE w:val="0"/>
        <w:autoSpaceDN w:val="0"/>
        <w:adjustRightInd w:val="0"/>
        <w:rPr>
          <w:rFonts w:cs="Times New Roman"/>
        </w:rPr>
      </w:pPr>
    </w:p>
    <w:p w14:paraId="6352A028" w14:textId="77777777" w:rsidR="006755B1" w:rsidRDefault="006755B1" w:rsidP="006755B1">
      <w:pPr>
        <w:autoSpaceDE w:val="0"/>
        <w:autoSpaceDN w:val="0"/>
        <w:adjustRightInd w:val="0"/>
        <w:rPr>
          <w:rFonts w:cs="Times New Roman"/>
        </w:rPr>
      </w:pPr>
      <w:r w:rsidRPr="00633916">
        <w:rPr>
          <w:rFonts w:cs="Times New Roman"/>
        </w:rPr>
        <w:t xml:space="preserve">Operating expenses are expenses incurred in the normal operation of the College, including depreciation </w:t>
      </w:r>
      <w:r w:rsidRPr="001D513B">
        <w:rPr>
          <w:rFonts w:cs="Times New Roman"/>
        </w:rPr>
        <w:t>on property and equipment assets.</w:t>
      </w:r>
      <w:r>
        <w:rPr>
          <w:rFonts w:cs="Times New Roman"/>
        </w:rPr>
        <w:t xml:space="preserve">  When operating revenues, excluding state appropriations and Pell Grants, are measured against operating expenses, the College shows an </w:t>
      </w:r>
      <w:r w:rsidRPr="001D513B">
        <w:rPr>
          <w:rFonts w:cs="Times New Roman"/>
        </w:rPr>
        <w:t>operating loss</w:t>
      </w:r>
      <w:r>
        <w:rPr>
          <w:rFonts w:cs="Times New Roman"/>
        </w:rPr>
        <w:t>.  The operating loss is reflective of the external funding necessary to keep tuition lower than the cost of the services provided.</w:t>
      </w:r>
    </w:p>
    <w:p w14:paraId="73D71930" w14:textId="77777777" w:rsidR="006755B1" w:rsidRDefault="006755B1" w:rsidP="006755B1">
      <w:pPr>
        <w:autoSpaceDE w:val="0"/>
        <w:autoSpaceDN w:val="0"/>
        <w:adjustRightInd w:val="0"/>
        <w:rPr>
          <w:rFonts w:cs="Times New Roman"/>
        </w:rPr>
      </w:pPr>
    </w:p>
    <w:p w14:paraId="1DEE2D8B" w14:textId="77777777" w:rsidR="006755B1" w:rsidRDefault="006755B1" w:rsidP="006755B1">
      <w:pPr>
        <w:autoSpaceDE w:val="0"/>
        <w:autoSpaceDN w:val="0"/>
        <w:adjustRightInd w:val="0"/>
        <w:rPr>
          <w:rFonts w:cs="Times New Roman"/>
        </w:rPr>
      </w:pPr>
      <w:r>
        <w:rPr>
          <w:rFonts w:cs="Times New Roman"/>
        </w:rPr>
        <w:t xml:space="preserve">A condensed comparison of the College’s revenues, expense and changes in net position for the years ended June 30, 2017 and 2016 is presented below.  </w:t>
      </w:r>
    </w:p>
    <w:p w14:paraId="5555DE93" w14:textId="77777777" w:rsidR="006755B1" w:rsidRDefault="006755B1" w:rsidP="006755B1">
      <w:pPr>
        <w:autoSpaceDE w:val="0"/>
        <w:autoSpaceDN w:val="0"/>
        <w:adjustRightInd w:val="0"/>
        <w:rPr>
          <w:rFonts w:cs="Times New Roman"/>
        </w:rPr>
      </w:pPr>
    </w:p>
    <w:bookmarkStart w:id="8" w:name="_MON_1515941325"/>
    <w:bookmarkEnd w:id="8"/>
    <w:p w14:paraId="2B53C8E1" w14:textId="2D0CC1D0" w:rsidR="006755B1" w:rsidRDefault="007856F1" w:rsidP="006755B1">
      <w:pPr>
        <w:autoSpaceDE w:val="0"/>
        <w:autoSpaceDN w:val="0"/>
        <w:adjustRightInd w:val="0"/>
        <w:rPr>
          <w:rFonts w:cs="Times New Roman"/>
        </w:rPr>
      </w:pPr>
      <w:r>
        <w:rPr>
          <w:rFonts w:cs="Times New Roman"/>
        </w:rPr>
        <w:object w:dxaOrig="9780" w:dyaOrig="6727" w14:anchorId="69AEF5A8">
          <v:shape id="_x0000_i1029" type="#_x0000_t75" style="width:467.25pt;height:365.2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Excel.Sheet.12" ShapeID="_x0000_i1029" DrawAspect="Content" ObjectID="_1577870053" r:id="rId21"/>
        </w:object>
      </w:r>
    </w:p>
    <w:p w14:paraId="4C0D7E78" w14:textId="77777777" w:rsidR="0056330F" w:rsidRDefault="0056330F" w:rsidP="006755B1">
      <w:pPr>
        <w:autoSpaceDE w:val="0"/>
        <w:autoSpaceDN w:val="0"/>
        <w:adjustRightInd w:val="0"/>
        <w:rPr>
          <w:rFonts w:cs="Times New Roman"/>
          <w:u w:val="single"/>
        </w:rPr>
      </w:pPr>
    </w:p>
    <w:p w14:paraId="484E21FA" w14:textId="552A1FA9" w:rsidR="006755B1" w:rsidRPr="004E4586" w:rsidRDefault="006755B1" w:rsidP="006755B1">
      <w:pPr>
        <w:autoSpaceDE w:val="0"/>
        <w:autoSpaceDN w:val="0"/>
        <w:adjustRightInd w:val="0"/>
        <w:rPr>
          <w:rFonts w:cs="Times New Roman"/>
          <w:u w:val="single"/>
        </w:rPr>
      </w:pPr>
      <w:r w:rsidRPr="004E4586">
        <w:rPr>
          <w:rFonts w:cs="Times New Roman"/>
          <w:u w:val="single"/>
        </w:rPr>
        <w:t>Revenues</w:t>
      </w:r>
    </w:p>
    <w:p w14:paraId="787A3D2C" w14:textId="77777777" w:rsidR="006755B1" w:rsidRDefault="006755B1" w:rsidP="006755B1">
      <w:pPr>
        <w:autoSpaceDE w:val="0"/>
        <w:autoSpaceDN w:val="0"/>
        <w:adjustRightInd w:val="0"/>
        <w:rPr>
          <w:rFonts w:cs="Times New Roman"/>
        </w:rPr>
      </w:pPr>
      <w:r>
        <w:rPr>
          <w:rFonts w:cs="Times New Roman"/>
        </w:rPr>
        <w:t xml:space="preserve">The state of Washington appropriates funds to the community college system as a whole.  The State Board for Community and Technical Colleges (SBCTC) then allocates monies to each college.   </w:t>
      </w:r>
      <w:r w:rsidRPr="00E77545">
        <w:rPr>
          <w:rFonts w:cs="Times New Roman"/>
        </w:rPr>
        <w:t xml:space="preserve">In FY 2017, the SBCTC moved forward with a new allocation model, allocating funds to each of the 34 college’s based on 3 year average FTE actuals.  In FY 2017, </w:t>
      </w:r>
      <w:r w:rsidRPr="00155D5F">
        <w:rPr>
          <w:rFonts w:cs="Times New Roman"/>
        </w:rPr>
        <w:t>the College saw an increase in its state allocation due to the implementation of this new model. In addition, the College received a one-time allocation of $628,980 for a portion of its share of Moore vs HCA settlement cost. This allocation does not carry forward to future years.</w:t>
      </w:r>
      <w:r>
        <w:rPr>
          <w:rFonts w:cs="Times New Roman"/>
        </w:rPr>
        <w:t xml:space="preserve">  </w:t>
      </w:r>
    </w:p>
    <w:p w14:paraId="0489BA86" w14:textId="77777777" w:rsidR="006755B1" w:rsidRDefault="006755B1" w:rsidP="006755B1">
      <w:pPr>
        <w:autoSpaceDE w:val="0"/>
        <w:autoSpaceDN w:val="0"/>
        <w:adjustRightInd w:val="0"/>
        <w:rPr>
          <w:rFonts w:cs="Times New Roman"/>
        </w:rPr>
      </w:pPr>
    </w:p>
    <w:p w14:paraId="55F89B08" w14:textId="2384AB5A" w:rsidR="006755B1" w:rsidRPr="00BE6228" w:rsidRDefault="00BE6228" w:rsidP="006755B1">
      <w:pPr>
        <w:autoSpaceDE w:val="0"/>
        <w:autoSpaceDN w:val="0"/>
        <w:adjustRightInd w:val="0"/>
        <w:rPr>
          <w:rFonts w:cs="Times New Roman"/>
          <w:highlight w:val="yellow"/>
        </w:rPr>
      </w:pPr>
      <w:r>
        <w:rPr>
          <w:rFonts w:cs="Times New Roman"/>
        </w:rPr>
        <w:t>In FY 2016</w:t>
      </w:r>
      <w:r w:rsidR="006755B1">
        <w:rPr>
          <w:rFonts w:cs="Times New Roman"/>
        </w:rPr>
        <w:t>, the Legislature enacted</w:t>
      </w:r>
      <w:r>
        <w:rPr>
          <w:rFonts w:cs="Times New Roman"/>
        </w:rPr>
        <w:t xml:space="preserve"> a 2 year tuition reduction plan called the Affordable Education Act.  This</w:t>
      </w:r>
      <w:r w:rsidR="006755B1">
        <w:rPr>
          <w:rFonts w:cs="Times New Roman"/>
        </w:rPr>
        <w:t xml:space="preserve"> reduced tuition by 5% at the college</w:t>
      </w:r>
      <w:r>
        <w:rPr>
          <w:rFonts w:cs="Times New Roman"/>
        </w:rPr>
        <w:t xml:space="preserve"> in FY16</w:t>
      </w:r>
      <w:r w:rsidR="006755B1">
        <w:rPr>
          <w:rFonts w:cs="Times New Roman"/>
        </w:rPr>
        <w:t>.  Decreased tuition rates combined with declining College enrollment have resulted in a decrease in overall tuition revenues.  Pell grant revenues general</w:t>
      </w:r>
      <w:r>
        <w:rPr>
          <w:rFonts w:cs="Times New Roman"/>
        </w:rPr>
        <w:t>ly</w:t>
      </w:r>
      <w:r w:rsidR="006755B1">
        <w:rPr>
          <w:rFonts w:cs="Times New Roman"/>
        </w:rPr>
        <w:t xml:space="preserve"> follow enrollment trends.  As the College’s enrollment </w:t>
      </w:r>
      <w:r w:rsidR="006755B1">
        <w:rPr>
          <w:rFonts w:cs="Times New Roman"/>
        </w:rPr>
        <w:lastRenderedPageBreak/>
        <w:t>softened during FY 2017, so did the College’s Pell Grant revenue.</w:t>
      </w:r>
      <w:r>
        <w:rPr>
          <w:rFonts w:cs="Times New Roman"/>
        </w:rPr>
        <w:t xml:space="preserve">  </w:t>
      </w:r>
      <w:r w:rsidR="006755B1" w:rsidRPr="002550A0">
        <w:rPr>
          <w:rFonts w:cs="Times New Roman"/>
        </w:rPr>
        <w:t>In FY 201</w:t>
      </w:r>
      <w:r w:rsidR="006755B1" w:rsidRPr="00155D5F">
        <w:rPr>
          <w:rFonts w:cs="Times New Roman"/>
        </w:rPr>
        <w:t>7</w:t>
      </w:r>
      <w:r w:rsidR="006755B1" w:rsidRPr="002550A0">
        <w:rPr>
          <w:rFonts w:cs="Times New Roman"/>
        </w:rPr>
        <w:t xml:space="preserve">, grant and contract revenues increased </w:t>
      </w:r>
      <w:r w:rsidR="006755B1" w:rsidRPr="00BD4DC4">
        <w:rPr>
          <w:rFonts w:cs="Times New Roman"/>
        </w:rPr>
        <w:t xml:space="preserve">by </w:t>
      </w:r>
      <w:r w:rsidR="007856F1">
        <w:rPr>
          <w:rFonts w:cs="Times New Roman"/>
        </w:rPr>
        <w:t>$1,774,471</w:t>
      </w:r>
      <w:r w:rsidR="006755B1" w:rsidRPr="002550A0">
        <w:rPr>
          <w:rFonts w:cs="Times New Roman"/>
        </w:rPr>
        <w:t xml:space="preserve"> when compared with FY 201</w:t>
      </w:r>
      <w:r w:rsidR="006755B1" w:rsidRPr="00155D5F">
        <w:rPr>
          <w:rFonts w:cs="Times New Roman"/>
        </w:rPr>
        <w:t>6</w:t>
      </w:r>
      <w:r w:rsidR="006755B1" w:rsidRPr="002550A0">
        <w:rPr>
          <w:rFonts w:cs="Times New Roman"/>
        </w:rPr>
        <w:t xml:space="preserve">.  The College continued to serve students under the terms of contracted programs. The College contracts with local high schools to enroll Running Start students who earn both high school and college credit for these courses.  The College also received a new </w:t>
      </w:r>
      <w:r w:rsidR="006755B1" w:rsidRPr="00155D5F">
        <w:rPr>
          <w:rFonts w:cs="Times New Roman"/>
        </w:rPr>
        <w:t>National Science Foundation</w:t>
      </w:r>
      <w:r w:rsidR="006755B1" w:rsidRPr="002550A0">
        <w:rPr>
          <w:rFonts w:cs="Times New Roman"/>
        </w:rPr>
        <w:t xml:space="preserve"> grant during FY201</w:t>
      </w:r>
      <w:r w:rsidR="006755B1" w:rsidRPr="00155D5F">
        <w:rPr>
          <w:rFonts w:cs="Times New Roman"/>
        </w:rPr>
        <w:t>7</w:t>
      </w:r>
      <w:r w:rsidR="006755B1" w:rsidRPr="002550A0">
        <w:rPr>
          <w:rFonts w:cs="Times New Roman"/>
        </w:rPr>
        <w:t xml:space="preserve"> and additional </w:t>
      </w:r>
      <w:r w:rsidR="006755B1" w:rsidRPr="00155D5F">
        <w:rPr>
          <w:rFonts w:cs="Times New Roman"/>
        </w:rPr>
        <w:t>Head Start federal</w:t>
      </w:r>
      <w:r w:rsidR="006755B1" w:rsidRPr="002550A0">
        <w:rPr>
          <w:rFonts w:cs="Times New Roman"/>
        </w:rPr>
        <w:t xml:space="preserve"> grant </w:t>
      </w:r>
      <w:r w:rsidR="006755B1" w:rsidRPr="00155D5F">
        <w:rPr>
          <w:rFonts w:cs="Times New Roman"/>
        </w:rPr>
        <w:t>funds</w:t>
      </w:r>
      <w:r w:rsidR="006755B1" w:rsidRPr="002550A0">
        <w:rPr>
          <w:rFonts w:cs="Times New Roman"/>
        </w:rPr>
        <w:t>.</w:t>
      </w:r>
    </w:p>
    <w:p w14:paraId="3D607346" w14:textId="77777777" w:rsidR="006755B1" w:rsidRPr="00155D5F" w:rsidRDefault="006755B1" w:rsidP="006755B1">
      <w:pPr>
        <w:autoSpaceDE w:val="0"/>
        <w:autoSpaceDN w:val="0"/>
        <w:adjustRightInd w:val="0"/>
        <w:rPr>
          <w:rFonts w:cs="Times New Roman"/>
          <w:highlight w:val="yellow"/>
        </w:rPr>
      </w:pPr>
    </w:p>
    <w:p w14:paraId="38331773" w14:textId="77777777" w:rsidR="006755B1" w:rsidRDefault="006755B1" w:rsidP="006755B1">
      <w:pPr>
        <w:autoSpaceDE w:val="0"/>
        <w:autoSpaceDN w:val="0"/>
        <w:adjustRightInd w:val="0"/>
        <w:rPr>
          <w:rFonts w:cs="Times New Roman"/>
        </w:rPr>
      </w:pPr>
      <w:r w:rsidRPr="002550A0">
        <w:rPr>
          <w:rFonts w:cs="Times New Roman"/>
        </w:rPr>
        <w:t>The College receives capital spending authority on a biennial basis and may carry unexpended amounts forward into one or two future biennia, depending on the original purpose of the funding.  In accordance with accounting standards, the amount shown as capital appropriation revenue on the financial statement is the amount expended in the current year.  Expenditures from capital project funds that do not meet accounting standards for capitalization are reported as operating expenses.  Those expenditures that meet the capitalization standard are not shown as expense in the current period and are instead recognized as depreciation expense over the expected useful lifetime of the asset.</w:t>
      </w:r>
    </w:p>
    <w:p w14:paraId="469FB028" w14:textId="77777777" w:rsidR="00CC6EAA" w:rsidRDefault="00CC6EAA" w:rsidP="002F0078">
      <w:pPr>
        <w:autoSpaceDE w:val="0"/>
        <w:autoSpaceDN w:val="0"/>
        <w:adjustRightInd w:val="0"/>
        <w:jc w:val="center"/>
        <w:rPr>
          <w:rFonts w:cs="Times New Roman"/>
        </w:rPr>
      </w:pPr>
    </w:p>
    <w:p w14:paraId="3C745CCA" w14:textId="77777777" w:rsidR="00CC6EAA" w:rsidRDefault="00CC6EAA" w:rsidP="002F0078">
      <w:pPr>
        <w:autoSpaceDE w:val="0"/>
        <w:autoSpaceDN w:val="0"/>
        <w:adjustRightInd w:val="0"/>
        <w:jc w:val="center"/>
        <w:rPr>
          <w:rFonts w:cs="Times New Roman"/>
        </w:rPr>
      </w:pPr>
    </w:p>
    <w:p w14:paraId="6191387F" w14:textId="4DE745FA" w:rsidR="006755B1" w:rsidRDefault="006755B1" w:rsidP="002F0078">
      <w:pPr>
        <w:autoSpaceDE w:val="0"/>
        <w:autoSpaceDN w:val="0"/>
        <w:adjustRightInd w:val="0"/>
        <w:jc w:val="center"/>
        <w:rPr>
          <w:rFonts w:cs="Times New Roman"/>
        </w:rPr>
      </w:pPr>
      <w:r>
        <w:rPr>
          <w:rFonts w:cs="Times New Roman"/>
          <w:noProof/>
        </w:rPr>
        <w:drawing>
          <wp:inline distT="0" distB="0" distL="0" distR="0" wp14:anchorId="78132FA7" wp14:editId="43A3FFB0">
            <wp:extent cx="5943600" cy="3300730"/>
            <wp:effectExtent l="0" t="0" r="0" b="1397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B2CC44" w14:textId="2FCD21A7" w:rsidR="006755B1" w:rsidRDefault="006755B1" w:rsidP="006755B1">
      <w:pPr>
        <w:autoSpaceDE w:val="0"/>
        <w:autoSpaceDN w:val="0"/>
        <w:adjustRightInd w:val="0"/>
        <w:rPr>
          <w:rFonts w:cs="Times New Roman"/>
          <w:i/>
          <w:iCs/>
        </w:rPr>
      </w:pPr>
    </w:p>
    <w:p w14:paraId="26532D96" w14:textId="77777777" w:rsidR="006755B1" w:rsidRPr="00F23AD8" w:rsidRDefault="006755B1" w:rsidP="006755B1">
      <w:pPr>
        <w:autoSpaceDE w:val="0"/>
        <w:autoSpaceDN w:val="0"/>
        <w:adjustRightInd w:val="0"/>
        <w:rPr>
          <w:rFonts w:cs="Times New Roman"/>
          <w:iCs/>
          <w:u w:val="single"/>
        </w:rPr>
      </w:pPr>
      <w:r w:rsidRPr="00F23AD8">
        <w:rPr>
          <w:rFonts w:cs="Times New Roman"/>
          <w:iCs/>
          <w:u w:val="single"/>
        </w:rPr>
        <w:t>Expenses</w:t>
      </w:r>
    </w:p>
    <w:p w14:paraId="6008A802" w14:textId="0BD33729" w:rsidR="006755B1" w:rsidRDefault="006755B1" w:rsidP="006755B1">
      <w:pPr>
        <w:autoSpaceDE w:val="0"/>
        <w:autoSpaceDN w:val="0"/>
        <w:adjustRightInd w:val="0"/>
        <w:rPr>
          <w:rFonts w:cs="Times New Roman"/>
        </w:rPr>
      </w:pPr>
      <w:r>
        <w:rPr>
          <w:rFonts w:cs="Times New Roman"/>
        </w:rPr>
        <w:t xml:space="preserve">Faced with severe budget cuts over the </w:t>
      </w:r>
      <w:r w:rsidRPr="00607A1D">
        <w:rPr>
          <w:rFonts w:cs="Times New Roman"/>
        </w:rPr>
        <w:t>past six years,</w:t>
      </w:r>
      <w:r>
        <w:rPr>
          <w:rFonts w:cs="Times New Roman"/>
        </w:rPr>
        <w:t xml:space="preserve"> the College has continuously sought opportunities to identify savings and efficiencies.  Over time, the College was subject to various</w:t>
      </w:r>
      <w:r w:rsidR="0056330F">
        <w:rPr>
          <w:rFonts w:cs="Times New Roman"/>
        </w:rPr>
        <w:t xml:space="preserve"> </w:t>
      </w:r>
      <w:r>
        <w:rPr>
          <w:rFonts w:cs="Times New Roman"/>
        </w:rPr>
        <w:t>state spending freezes and employee salary reductions</w:t>
      </w:r>
      <w:r w:rsidRPr="003D56E0">
        <w:rPr>
          <w:rFonts w:cs="Times New Roman"/>
        </w:rPr>
        <w:t xml:space="preserve">.  2017 operating expenses are comparable to 2016 levels.  </w:t>
      </w:r>
    </w:p>
    <w:p w14:paraId="40F7E9B3" w14:textId="77777777" w:rsidR="002F0078" w:rsidRDefault="002F0078" w:rsidP="006755B1">
      <w:pPr>
        <w:autoSpaceDE w:val="0"/>
        <w:autoSpaceDN w:val="0"/>
        <w:adjustRightInd w:val="0"/>
        <w:rPr>
          <w:sz w:val="16"/>
          <w:szCs w:val="16"/>
        </w:rPr>
      </w:pPr>
    </w:p>
    <w:p w14:paraId="0A800761" w14:textId="77777777" w:rsidR="006755B1" w:rsidRPr="00A91CB8" w:rsidRDefault="006755B1" w:rsidP="006755B1">
      <w:pPr>
        <w:autoSpaceDE w:val="0"/>
        <w:autoSpaceDN w:val="0"/>
        <w:adjustRightInd w:val="0"/>
        <w:rPr>
          <w:rFonts w:cs="Times New Roman"/>
          <w:u w:val="single"/>
        </w:rPr>
      </w:pPr>
      <w:r w:rsidRPr="00A91CB8">
        <w:rPr>
          <w:rFonts w:cs="Times New Roman"/>
          <w:u w:val="single"/>
        </w:rPr>
        <w:t xml:space="preserve">Comparison of </w:t>
      </w:r>
      <w:r>
        <w:rPr>
          <w:rFonts w:cs="Times New Roman"/>
          <w:u w:val="single"/>
        </w:rPr>
        <w:t xml:space="preserve">Selected </w:t>
      </w:r>
      <w:r w:rsidRPr="00A91CB8">
        <w:rPr>
          <w:rFonts w:cs="Times New Roman"/>
          <w:u w:val="single"/>
        </w:rPr>
        <w:t>Operating Expenses by Function</w:t>
      </w:r>
    </w:p>
    <w:p w14:paraId="6CA7C7DD" w14:textId="77777777" w:rsidR="006755B1" w:rsidRPr="00A91CB8" w:rsidRDefault="006755B1" w:rsidP="006755B1">
      <w:pPr>
        <w:autoSpaceDE w:val="0"/>
        <w:autoSpaceDN w:val="0"/>
        <w:adjustRightInd w:val="0"/>
        <w:rPr>
          <w:sz w:val="16"/>
          <w:szCs w:val="16"/>
          <w:highlight w:val="lightGray"/>
        </w:rPr>
      </w:pPr>
      <w:r>
        <w:rPr>
          <w:rFonts w:cs="Times New Roman"/>
        </w:rPr>
        <w:t xml:space="preserve">The </w:t>
      </w:r>
      <w:r w:rsidRPr="004F7A71">
        <w:rPr>
          <w:rFonts w:cs="Times New Roman"/>
        </w:rPr>
        <w:t xml:space="preserve">chart </w:t>
      </w:r>
      <w:r>
        <w:rPr>
          <w:rFonts w:cs="Times New Roman"/>
        </w:rPr>
        <w:t>below</w:t>
      </w:r>
      <w:r w:rsidRPr="004F7A71">
        <w:rPr>
          <w:rFonts w:cs="Times New Roman"/>
        </w:rPr>
        <w:t xml:space="preserve"> shows the amount, in dollars, for </w:t>
      </w:r>
      <w:r>
        <w:rPr>
          <w:rFonts w:cs="Times New Roman"/>
        </w:rPr>
        <w:t>selected</w:t>
      </w:r>
      <w:r w:rsidRPr="004F7A71">
        <w:rPr>
          <w:rFonts w:cs="Times New Roman"/>
        </w:rPr>
        <w:t xml:space="preserve"> functional areas of operating</w:t>
      </w:r>
      <w:r>
        <w:rPr>
          <w:rFonts w:cs="Times New Roman"/>
        </w:rPr>
        <w:t xml:space="preserve"> </w:t>
      </w:r>
      <w:r w:rsidRPr="004F7A71">
        <w:rPr>
          <w:rFonts w:cs="Times New Roman"/>
        </w:rPr>
        <w:t xml:space="preserve">expenses for </w:t>
      </w:r>
      <w:r>
        <w:rPr>
          <w:rFonts w:cs="Times New Roman"/>
        </w:rPr>
        <w:t>FY 2017 and FY 2016.</w:t>
      </w:r>
      <w:r>
        <w:rPr>
          <w:sz w:val="16"/>
          <w:szCs w:val="16"/>
          <w:highlight w:val="lightGray"/>
        </w:rPr>
        <w:t xml:space="preserve">  </w:t>
      </w:r>
    </w:p>
    <w:p w14:paraId="7BAB48E4" w14:textId="77777777" w:rsidR="006755B1" w:rsidRPr="00A91CB8" w:rsidRDefault="006755B1" w:rsidP="006755B1">
      <w:pPr>
        <w:autoSpaceDE w:val="0"/>
        <w:autoSpaceDN w:val="0"/>
        <w:adjustRightInd w:val="0"/>
        <w:rPr>
          <w:sz w:val="16"/>
          <w:szCs w:val="16"/>
          <w:highlight w:val="lightGray"/>
        </w:rPr>
      </w:pPr>
    </w:p>
    <w:p w14:paraId="75184A56" w14:textId="77777777" w:rsidR="006755B1" w:rsidRDefault="006755B1" w:rsidP="002F0078">
      <w:pPr>
        <w:autoSpaceDE w:val="0"/>
        <w:autoSpaceDN w:val="0"/>
        <w:adjustRightInd w:val="0"/>
        <w:jc w:val="center"/>
        <w:rPr>
          <w:rFonts w:cs="Times New Roman"/>
        </w:rPr>
      </w:pPr>
      <w:r>
        <w:rPr>
          <w:rFonts w:cs="Times New Roman"/>
          <w:noProof/>
        </w:rPr>
        <w:drawing>
          <wp:anchor distT="0" distB="0" distL="114300" distR="114300" simplePos="0" relativeHeight="251659264" behindDoc="0" locked="0" layoutInCell="1" allowOverlap="1" wp14:anchorId="200401FC" wp14:editId="54CCD67F">
            <wp:simplePos x="0" y="0"/>
            <wp:positionH relativeFrom="margin">
              <wp:posOffset>323850</wp:posOffset>
            </wp:positionH>
            <wp:positionV relativeFrom="paragraph">
              <wp:posOffset>3576955</wp:posOffset>
            </wp:positionV>
            <wp:extent cx="3695700" cy="3676650"/>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cs="Times New Roman"/>
          <w:noProof/>
        </w:rPr>
        <w:drawing>
          <wp:inline distT="0" distB="0" distL="0" distR="0" wp14:anchorId="514D9795" wp14:editId="28BD19FA">
            <wp:extent cx="6315075" cy="4248150"/>
            <wp:effectExtent l="1905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E8BAA8" w14:textId="77777777" w:rsidR="006755B1" w:rsidRDefault="006755B1" w:rsidP="006755B1">
      <w:pPr>
        <w:autoSpaceDE w:val="0"/>
        <w:autoSpaceDN w:val="0"/>
        <w:adjustRightInd w:val="0"/>
        <w:rPr>
          <w:rFonts w:cs="Times New Roman"/>
        </w:rPr>
      </w:pPr>
    </w:p>
    <w:p w14:paraId="5E4D8AC8" w14:textId="77777777" w:rsidR="006755B1" w:rsidRDefault="006755B1" w:rsidP="006755B1">
      <w:pPr>
        <w:autoSpaceDE w:val="0"/>
        <w:autoSpaceDN w:val="0"/>
        <w:adjustRightInd w:val="0"/>
        <w:rPr>
          <w:rFonts w:cs="Times New Roman"/>
        </w:rPr>
      </w:pPr>
    </w:p>
    <w:p w14:paraId="5FD20CFF" w14:textId="77777777" w:rsidR="006755B1" w:rsidRDefault="006755B1" w:rsidP="006755B1">
      <w:pPr>
        <w:autoSpaceDE w:val="0"/>
        <w:autoSpaceDN w:val="0"/>
        <w:adjustRightInd w:val="0"/>
        <w:rPr>
          <w:rFonts w:cs="Times New Roman"/>
        </w:rPr>
      </w:pPr>
    </w:p>
    <w:p w14:paraId="18497386" w14:textId="77777777" w:rsidR="006755B1" w:rsidRDefault="006755B1" w:rsidP="006755B1">
      <w:pPr>
        <w:autoSpaceDE w:val="0"/>
        <w:autoSpaceDN w:val="0"/>
        <w:adjustRightInd w:val="0"/>
        <w:rPr>
          <w:rFonts w:cs="Times New Roman"/>
        </w:rPr>
      </w:pPr>
    </w:p>
    <w:p w14:paraId="54E189D6" w14:textId="1CF057FB" w:rsidR="006755B1" w:rsidRDefault="006755B1" w:rsidP="006755B1">
      <w:pPr>
        <w:autoSpaceDE w:val="0"/>
        <w:autoSpaceDN w:val="0"/>
        <w:adjustRightInd w:val="0"/>
        <w:rPr>
          <w:rFonts w:cs="Times New Roman"/>
        </w:rPr>
      </w:pPr>
    </w:p>
    <w:p w14:paraId="4B6BEAD6" w14:textId="4D45BFDB" w:rsidR="002F0078" w:rsidRDefault="002F0078" w:rsidP="006755B1">
      <w:pPr>
        <w:autoSpaceDE w:val="0"/>
        <w:autoSpaceDN w:val="0"/>
        <w:adjustRightInd w:val="0"/>
        <w:rPr>
          <w:rFonts w:cs="Times New Roman"/>
        </w:rPr>
      </w:pPr>
    </w:p>
    <w:p w14:paraId="07DE1AC4" w14:textId="1804610F" w:rsidR="002F0078" w:rsidRDefault="002F0078" w:rsidP="006755B1">
      <w:pPr>
        <w:autoSpaceDE w:val="0"/>
        <w:autoSpaceDN w:val="0"/>
        <w:adjustRightInd w:val="0"/>
        <w:rPr>
          <w:rFonts w:cs="Times New Roman"/>
        </w:rPr>
      </w:pPr>
    </w:p>
    <w:p w14:paraId="7B0C4281" w14:textId="558096D9" w:rsidR="002F0078" w:rsidRDefault="002F0078" w:rsidP="006755B1">
      <w:pPr>
        <w:autoSpaceDE w:val="0"/>
        <w:autoSpaceDN w:val="0"/>
        <w:adjustRightInd w:val="0"/>
        <w:rPr>
          <w:rFonts w:cs="Times New Roman"/>
        </w:rPr>
      </w:pPr>
    </w:p>
    <w:p w14:paraId="4127DFD1" w14:textId="0A270BD4" w:rsidR="002F0078" w:rsidRDefault="002F0078" w:rsidP="006755B1">
      <w:pPr>
        <w:autoSpaceDE w:val="0"/>
        <w:autoSpaceDN w:val="0"/>
        <w:adjustRightInd w:val="0"/>
        <w:rPr>
          <w:rFonts w:cs="Times New Roman"/>
        </w:rPr>
      </w:pPr>
    </w:p>
    <w:p w14:paraId="16FD7BC4" w14:textId="77777777" w:rsidR="002F0078" w:rsidRDefault="002F0078" w:rsidP="006755B1">
      <w:pPr>
        <w:autoSpaceDE w:val="0"/>
        <w:autoSpaceDN w:val="0"/>
        <w:adjustRightInd w:val="0"/>
        <w:rPr>
          <w:rFonts w:cs="Times New Roman"/>
        </w:rPr>
      </w:pPr>
    </w:p>
    <w:p w14:paraId="6B71AC62" w14:textId="77777777" w:rsidR="006755B1" w:rsidRDefault="006755B1" w:rsidP="006755B1">
      <w:pPr>
        <w:autoSpaceDE w:val="0"/>
        <w:autoSpaceDN w:val="0"/>
        <w:adjustRightInd w:val="0"/>
        <w:rPr>
          <w:rFonts w:cs="Times New Roman"/>
        </w:rPr>
      </w:pPr>
    </w:p>
    <w:p w14:paraId="02EF1D0C" w14:textId="77777777" w:rsidR="006755B1" w:rsidRDefault="006755B1" w:rsidP="006755B1">
      <w:pPr>
        <w:autoSpaceDE w:val="0"/>
        <w:autoSpaceDN w:val="0"/>
        <w:adjustRightInd w:val="0"/>
        <w:rPr>
          <w:rFonts w:cs="Times New Roman"/>
        </w:rPr>
      </w:pPr>
    </w:p>
    <w:p w14:paraId="2A3A0923" w14:textId="77777777" w:rsidR="006755B1" w:rsidRDefault="006755B1" w:rsidP="006755B1">
      <w:pPr>
        <w:autoSpaceDE w:val="0"/>
        <w:autoSpaceDN w:val="0"/>
        <w:adjustRightInd w:val="0"/>
        <w:rPr>
          <w:rFonts w:cs="Times New Roman"/>
        </w:rPr>
      </w:pPr>
    </w:p>
    <w:p w14:paraId="0F7D4AE7" w14:textId="77777777" w:rsidR="006755B1" w:rsidRPr="00C83BBF" w:rsidRDefault="006755B1" w:rsidP="006755B1">
      <w:pPr>
        <w:autoSpaceDE w:val="0"/>
        <w:autoSpaceDN w:val="0"/>
        <w:adjustRightInd w:val="0"/>
        <w:rPr>
          <w:rFonts w:cs="Times New Roman"/>
          <w14:textOutline w14:w="9525" w14:cap="rnd" w14:cmpd="sng" w14:algn="ctr">
            <w14:solidFill>
              <w14:schemeClr w14:val="accent1"/>
            </w14:solidFill>
            <w14:prstDash w14:val="solid"/>
            <w14:bevel/>
          </w14:textOutline>
        </w:rPr>
      </w:pPr>
    </w:p>
    <w:p w14:paraId="54AF3976" w14:textId="77777777" w:rsidR="006755B1" w:rsidRDefault="006755B1" w:rsidP="006755B1">
      <w:pPr>
        <w:autoSpaceDE w:val="0"/>
        <w:autoSpaceDN w:val="0"/>
        <w:adjustRightInd w:val="0"/>
        <w:rPr>
          <w:rFonts w:cs="Times New Roman"/>
        </w:rPr>
      </w:pPr>
    </w:p>
    <w:p w14:paraId="613C50E3" w14:textId="77777777" w:rsidR="006755B1" w:rsidRDefault="006755B1" w:rsidP="006755B1">
      <w:pPr>
        <w:autoSpaceDE w:val="0"/>
        <w:autoSpaceDN w:val="0"/>
        <w:adjustRightInd w:val="0"/>
        <w:rPr>
          <w:rFonts w:cs="Times New Roman"/>
        </w:rPr>
      </w:pPr>
    </w:p>
    <w:p w14:paraId="61F7F951" w14:textId="77777777" w:rsidR="006755B1" w:rsidRDefault="006755B1" w:rsidP="006755B1">
      <w:pPr>
        <w:autoSpaceDE w:val="0"/>
        <w:autoSpaceDN w:val="0"/>
        <w:adjustRightInd w:val="0"/>
        <w:rPr>
          <w:rFonts w:cs="Times New Roman"/>
          <w:b/>
          <w:iCs/>
        </w:rPr>
      </w:pPr>
    </w:p>
    <w:p w14:paraId="01248500" w14:textId="77777777" w:rsidR="006755B1" w:rsidRDefault="006755B1" w:rsidP="006755B1">
      <w:pPr>
        <w:autoSpaceDE w:val="0"/>
        <w:autoSpaceDN w:val="0"/>
        <w:adjustRightInd w:val="0"/>
        <w:rPr>
          <w:rFonts w:cs="Times New Roman"/>
          <w:b/>
          <w:iCs/>
        </w:rPr>
      </w:pPr>
    </w:p>
    <w:p w14:paraId="07E4ADD4" w14:textId="77777777" w:rsidR="006755B1" w:rsidRPr="006051DF" w:rsidRDefault="006755B1" w:rsidP="006755B1">
      <w:pPr>
        <w:autoSpaceDE w:val="0"/>
        <w:autoSpaceDN w:val="0"/>
        <w:adjustRightInd w:val="0"/>
        <w:rPr>
          <w:rFonts w:cs="Times New Roman"/>
          <w:b/>
          <w:iCs/>
        </w:rPr>
      </w:pPr>
      <w:r w:rsidRPr="006051DF">
        <w:rPr>
          <w:rFonts w:cs="Times New Roman"/>
          <w:b/>
          <w:iCs/>
        </w:rPr>
        <w:t>Capital Assets and Long-Term Debt Activities</w:t>
      </w:r>
    </w:p>
    <w:p w14:paraId="6AED5709" w14:textId="77777777" w:rsidR="006755B1" w:rsidRPr="00DA5641" w:rsidRDefault="006755B1" w:rsidP="006755B1">
      <w:pPr>
        <w:autoSpaceDE w:val="0"/>
        <w:autoSpaceDN w:val="0"/>
        <w:adjustRightInd w:val="0"/>
        <w:rPr>
          <w:rFonts w:cs="Times New Roman"/>
        </w:rPr>
      </w:pPr>
      <w:r>
        <w:rPr>
          <w:rFonts w:cs="Times New Roman"/>
        </w:rPr>
        <w:t>The community and technical college system submits a single prioritized request to the Office of Financial Management and the Legislature for appropriated capital funds, which includes major projects, minor projects, repairs, emergency funds, alternative financing and major leases.  The primary funding source for college capital projects is state general obligation bonds.  In recent years, declining state revenues significantly reduced the state’s debt capacity and are expected to continue to impact the number of new projects that can be financed.</w:t>
      </w:r>
      <w:r w:rsidRPr="00A769B5">
        <w:rPr>
          <w:rFonts w:cs="Times New Roman"/>
        </w:rPr>
        <w:t xml:space="preserve"> </w:t>
      </w:r>
      <w:r>
        <w:rPr>
          <w:rFonts w:cs="Times New Roman"/>
        </w:rPr>
        <w:t xml:space="preserve"> </w:t>
      </w:r>
      <w:r w:rsidRPr="00DA5641">
        <w:rPr>
          <w:rFonts w:cs="Times New Roman"/>
        </w:rPr>
        <w:t xml:space="preserve">In addition, the College has one of four community college projects that were funded through a Certificate of Participation (COP) against which system–wide building fee monies were pledged.    </w:t>
      </w:r>
    </w:p>
    <w:p w14:paraId="2E30D6E0" w14:textId="77777777" w:rsidR="006755B1" w:rsidRDefault="006755B1" w:rsidP="006755B1">
      <w:pPr>
        <w:autoSpaceDE w:val="0"/>
        <w:autoSpaceDN w:val="0"/>
        <w:adjustRightInd w:val="0"/>
        <w:rPr>
          <w:rFonts w:cs="Times New Roman"/>
        </w:rPr>
      </w:pPr>
    </w:p>
    <w:p w14:paraId="22B02AB7" w14:textId="26E6E967" w:rsidR="006755B1" w:rsidRDefault="006755B1" w:rsidP="006755B1">
      <w:pPr>
        <w:autoSpaceDE w:val="0"/>
        <w:autoSpaceDN w:val="0"/>
        <w:adjustRightInd w:val="0"/>
        <w:rPr>
          <w:rFonts w:cs="Times New Roman"/>
        </w:rPr>
      </w:pPr>
      <w:r w:rsidRPr="005E4492">
        <w:rPr>
          <w:rFonts w:cs="Times New Roman"/>
        </w:rPr>
        <w:t>At June 30, 2017, the College had invested $8</w:t>
      </w:r>
      <w:r w:rsidR="00DD6B56">
        <w:rPr>
          <w:rFonts w:cs="Times New Roman"/>
        </w:rPr>
        <w:t>1,313,123</w:t>
      </w:r>
      <w:r w:rsidRPr="005E4492">
        <w:rPr>
          <w:rFonts w:cs="Times New Roman"/>
        </w:rPr>
        <w:t xml:space="preserve"> in capital assets, net of accumulated depreciation.  This represents a </w:t>
      </w:r>
      <w:r w:rsidRPr="00155D5F">
        <w:rPr>
          <w:rFonts w:cs="Times New Roman"/>
        </w:rPr>
        <w:t xml:space="preserve">decrease </w:t>
      </w:r>
      <w:r w:rsidRPr="005E4492">
        <w:rPr>
          <w:rFonts w:cs="Times New Roman"/>
        </w:rPr>
        <w:t>of $</w:t>
      </w:r>
      <w:r>
        <w:rPr>
          <w:rFonts w:cs="Times New Roman"/>
        </w:rPr>
        <w:t>1,946,422</w:t>
      </w:r>
      <w:r w:rsidRPr="005E4492">
        <w:rPr>
          <w:rFonts w:cs="Times New Roman"/>
        </w:rPr>
        <w:t xml:space="preserve"> from last year, as shown in the table below.</w:t>
      </w:r>
    </w:p>
    <w:p w14:paraId="5B637210" w14:textId="77777777" w:rsidR="006755B1" w:rsidRDefault="006755B1" w:rsidP="006755B1">
      <w:pPr>
        <w:autoSpaceDE w:val="0"/>
        <w:autoSpaceDN w:val="0"/>
        <w:adjustRightInd w:val="0"/>
        <w:rPr>
          <w:rFonts w:cs="Times New Roman"/>
        </w:rPr>
      </w:pPr>
    </w:p>
    <w:bookmarkStart w:id="9" w:name="_MON_1455609000"/>
    <w:bookmarkEnd w:id="9"/>
    <w:p w14:paraId="111BC9E0" w14:textId="77777777" w:rsidR="006755B1" w:rsidRDefault="006755B1" w:rsidP="002F0078">
      <w:pPr>
        <w:autoSpaceDE w:val="0"/>
        <w:autoSpaceDN w:val="0"/>
        <w:adjustRightInd w:val="0"/>
        <w:jc w:val="center"/>
        <w:rPr>
          <w:rFonts w:cs="Times New Roman"/>
        </w:rPr>
      </w:pPr>
      <w:r>
        <w:rPr>
          <w:rFonts w:cs="Times New Roman"/>
        </w:rPr>
        <w:object w:dxaOrig="9075" w:dyaOrig="2387" w14:anchorId="799A6668">
          <v:shape id="_x0000_i1030" type="#_x0000_t75" style="width:453.75pt;height:131.25pt" o:ole="">
            <v:imagedata r:id="rId25" o:title=""/>
          </v:shape>
          <o:OLEObject Type="Embed" ProgID="Excel.Sheet.12" ShapeID="_x0000_i1030" DrawAspect="Content" ObjectID="_1577870054" r:id="rId26"/>
        </w:object>
      </w:r>
    </w:p>
    <w:p w14:paraId="721C45BA" w14:textId="77777777" w:rsidR="006755B1" w:rsidRDefault="006755B1" w:rsidP="006755B1">
      <w:pPr>
        <w:autoSpaceDE w:val="0"/>
        <w:autoSpaceDN w:val="0"/>
        <w:adjustRightInd w:val="0"/>
        <w:rPr>
          <w:rFonts w:cs="Times New Roman"/>
        </w:rPr>
      </w:pPr>
    </w:p>
    <w:p w14:paraId="41ABE8FB" w14:textId="77777777" w:rsidR="006755B1" w:rsidRPr="005E4492" w:rsidRDefault="006755B1" w:rsidP="006755B1">
      <w:pPr>
        <w:autoSpaceDE w:val="0"/>
        <w:autoSpaceDN w:val="0"/>
        <w:adjustRightInd w:val="0"/>
        <w:rPr>
          <w:sz w:val="16"/>
          <w:szCs w:val="16"/>
        </w:rPr>
      </w:pPr>
      <w:r w:rsidRPr="005E4492">
        <w:rPr>
          <w:rFonts w:cs="Times New Roman"/>
        </w:rPr>
        <w:t xml:space="preserve">The </w:t>
      </w:r>
      <w:r w:rsidRPr="00155D5F">
        <w:rPr>
          <w:rFonts w:cs="Times New Roman"/>
        </w:rPr>
        <w:t>decrease</w:t>
      </w:r>
      <w:r w:rsidRPr="005E4492">
        <w:rPr>
          <w:rFonts w:cs="Times New Roman"/>
          <w:i/>
        </w:rPr>
        <w:t xml:space="preserve"> </w:t>
      </w:r>
      <w:r w:rsidRPr="005E4492">
        <w:rPr>
          <w:rFonts w:cs="Times New Roman"/>
        </w:rPr>
        <w:t xml:space="preserve">in net capital assets can be attributed </w:t>
      </w:r>
      <w:r w:rsidRPr="00155D5F">
        <w:rPr>
          <w:rFonts w:cs="Times New Roman"/>
        </w:rPr>
        <w:t>to current year depreciation expense</w:t>
      </w:r>
      <w:r w:rsidRPr="005E4492">
        <w:rPr>
          <w:rFonts w:cs="Times New Roman"/>
        </w:rPr>
        <w:t xml:space="preserve">. </w:t>
      </w:r>
      <w:r w:rsidRPr="00155D5F">
        <w:rPr>
          <w:rFonts w:cs="Times New Roman"/>
        </w:rPr>
        <w:t xml:space="preserve"> </w:t>
      </w:r>
      <w:r w:rsidRPr="005E4492">
        <w:rPr>
          <w:rFonts w:cs="Times New Roman"/>
        </w:rPr>
        <w:t>Additional information on capital assets can be found in Note 7 of the Notes to the Financial Statements.</w:t>
      </w:r>
    </w:p>
    <w:p w14:paraId="7B15BB20" w14:textId="77777777" w:rsidR="006755B1" w:rsidRPr="00155D5F" w:rsidRDefault="006755B1" w:rsidP="006755B1">
      <w:pPr>
        <w:autoSpaceDE w:val="0"/>
        <w:autoSpaceDN w:val="0"/>
        <w:adjustRightInd w:val="0"/>
        <w:rPr>
          <w:rFonts w:cs="Times New Roman"/>
          <w:highlight w:val="yellow"/>
        </w:rPr>
      </w:pPr>
    </w:p>
    <w:p w14:paraId="0BB8A194" w14:textId="77777777" w:rsidR="006755B1" w:rsidRPr="00C02D6A" w:rsidRDefault="006755B1" w:rsidP="006755B1">
      <w:pPr>
        <w:autoSpaceDE w:val="0"/>
        <w:autoSpaceDN w:val="0"/>
        <w:adjustRightInd w:val="0"/>
        <w:rPr>
          <w:rFonts w:cs="Times New Roman"/>
        </w:rPr>
      </w:pPr>
      <w:r w:rsidRPr="005E4492">
        <w:rPr>
          <w:rFonts w:cs="Times New Roman"/>
        </w:rPr>
        <w:t>At June 30, 201</w:t>
      </w:r>
      <w:r w:rsidRPr="00155D5F">
        <w:rPr>
          <w:rFonts w:cs="Times New Roman"/>
        </w:rPr>
        <w:t>7</w:t>
      </w:r>
      <w:r w:rsidRPr="005E4492">
        <w:rPr>
          <w:rFonts w:cs="Times New Roman"/>
        </w:rPr>
        <w:t>, the College had $2</w:t>
      </w:r>
      <w:r w:rsidRPr="00155D5F">
        <w:rPr>
          <w:rFonts w:cs="Times New Roman"/>
        </w:rPr>
        <w:t>2,646,564</w:t>
      </w:r>
      <w:r w:rsidRPr="005E4492">
        <w:rPr>
          <w:rFonts w:cs="Times New Roman"/>
        </w:rPr>
        <w:t xml:space="preserve"> in outstanding debt on three Certificates of Participation (COP).</w:t>
      </w:r>
    </w:p>
    <w:p w14:paraId="451B746C" w14:textId="77777777" w:rsidR="006755B1" w:rsidRPr="00C02D6A" w:rsidRDefault="006755B1" w:rsidP="006755B1">
      <w:pPr>
        <w:autoSpaceDE w:val="0"/>
        <w:autoSpaceDN w:val="0"/>
        <w:adjustRightInd w:val="0"/>
        <w:rPr>
          <w:rFonts w:cs="Times New Roman"/>
        </w:rPr>
      </w:pPr>
    </w:p>
    <w:bookmarkStart w:id="10" w:name="_MON_1455612862"/>
    <w:bookmarkEnd w:id="10"/>
    <w:p w14:paraId="494E1BEA" w14:textId="77777777" w:rsidR="006755B1" w:rsidRPr="00C02D6A" w:rsidRDefault="006755B1" w:rsidP="002F0078">
      <w:pPr>
        <w:autoSpaceDE w:val="0"/>
        <w:autoSpaceDN w:val="0"/>
        <w:adjustRightInd w:val="0"/>
        <w:jc w:val="center"/>
        <w:rPr>
          <w:rFonts w:cs="Times New Roman"/>
        </w:rPr>
      </w:pPr>
      <w:r w:rsidRPr="00C02D6A">
        <w:rPr>
          <w:rFonts w:cs="Times New Roman"/>
        </w:rPr>
        <w:object w:dxaOrig="7404" w:dyaOrig="934" w14:anchorId="335794C6">
          <v:shape id="_x0000_i1031" type="#_x0000_t75" style="width:369.75pt;height:46.5pt" o:ole="">
            <v:imagedata r:id="rId27" o:title=""/>
          </v:shape>
          <o:OLEObject Type="Embed" ProgID="Excel.Sheet.12" ShapeID="_x0000_i1031" DrawAspect="Content" ObjectID="_1577870055" r:id="rId28"/>
        </w:object>
      </w:r>
    </w:p>
    <w:p w14:paraId="5491C130" w14:textId="77777777" w:rsidR="006755B1" w:rsidRPr="00C02D6A" w:rsidRDefault="006755B1" w:rsidP="006755B1">
      <w:pPr>
        <w:autoSpaceDE w:val="0"/>
        <w:autoSpaceDN w:val="0"/>
        <w:adjustRightInd w:val="0"/>
        <w:rPr>
          <w:rFonts w:cs="Times New Roman"/>
        </w:rPr>
      </w:pPr>
    </w:p>
    <w:p w14:paraId="76AD3ED4" w14:textId="77777777" w:rsidR="006755B1" w:rsidRDefault="006755B1" w:rsidP="006755B1">
      <w:pPr>
        <w:autoSpaceDE w:val="0"/>
        <w:autoSpaceDN w:val="0"/>
        <w:adjustRightInd w:val="0"/>
        <w:rPr>
          <w:rFonts w:cs="Times New Roman"/>
        </w:rPr>
      </w:pPr>
      <w:r w:rsidRPr="00C02D6A">
        <w:rPr>
          <w:rFonts w:cs="Times New Roman"/>
        </w:rPr>
        <w:lastRenderedPageBreak/>
        <w:t>Additional information o</w:t>
      </w:r>
      <w:r>
        <w:rPr>
          <w:rFonts w:cs="Times New Roman"/>
        </w:rPr>
        <w:t>n</w:t>
      </w:r>
      <w:r w:rsidRPr="00C02D6A">
        <w:rPr>
          <w:rFonts w:cs="Times New Roman"/>
        </w:rPr>
        <w:t xml:space="preserve"> notes payable, long term debt and debt service schedules can be found in Notes 13, 14, and 15 of the Notes to the Financial Statements.</w:t>
      </w:r>
    </w:p>
    <w:p w14:paraId="6F503689" w14:textId="22B7897F" w:rsidR="006755B1" w:rsidRDefault="006755B1" w:rsidP="006755B1">
      <w:pPr>
        <w:autoSpaceDE w:val="0"/>
        <w:autoSpaceDN w:val="0"/>
        <w:adjustRightInd w:val="0"/>
        <w:rPr>
          <w:rFonts w:cs="Times New Roman"/>
        </w:rPr>
      </w:pPr>
    </w:p>
    <w:p w14:paraId="54DEE91A" w14:textId="77777777" w:rsidR="0056330F" w:rsidRDefault="0056330F" w:rsidP="006755B1">
      <w:pPr>
        <w:autoSpaceDE w:val="0"/>
        <w:autoSpaceDN w:val="0"/>
        <w:adjustRightInd w:val="0"/>
        <w:rPr>
          <w:rFonts w:cs="Times New Roman"/>
          <w:b/>
          <w:iCs/>
        </w:rPr>
      </w:pPr>
    </w:p>
    <w:p w14:paraId="69149281" w14:textId="77777777" w:rsidR="0056330F" w:rsidRDefault="0056330F" w:rsidP="006755B1">
      <w:pPr>
        <w:autoSpaceDE w:val="0"/>
        <w:autoSpaceDN w:val="0"/>
        <w:adjustRightInd w:val="0"/>
        <w:rPr>
          <w:rFonts w:cs="Times New Roman"/>
          <w:b/>
          <w:iCs/>
        </w:rPr>
      </w:pPr>
    </w:p>
    <w:p w14:paraId="734918C8" w14:textId="254BD419" w:rsidR="006755B1" w:rsidRPr="006051DF" w:rsidRDefault="006755B1" w:rsidP="006755B1">
      <w:pPr>
        <w:autoSpaceDE w:val="0"/>
        <w:autoSpaceDN w:val="0"/>
        <w:adjustRightInd w:val="0"/>
        <w:rPr>
          <w:rFonts w:cs="Times New Roman"/>
          <w:b/>
          <w:iCs/>
        </w:rPr>
      </w:pPr>
      <w:r w:rsidRPr="006051DF">
        <w:rPr>
          <w:rFonts w:cs="Times New Roman"/>
          <w:b/>
          <w:iCs/>
        </w:rPr>
        <w:t xml:space="preserve">Economic Factors That </w:t>
      </w:r>
      <w:r>
        <w:rPr>
          <w:rFonts w:cs="Times New Roman"/>
          <w:b/>
          <w:iCs/>
        </w:rPr>
        <w:t>May</w:t>
      </w:r>
      <w:r w:rsidRPr="006051DF">
        <w:rPr>
          <w:rFonts w:cs="Times New Roman"/>
          <w:b/>
          <w:iCs/>
        </w:rPr>
        <w:t xml:space="preserve"> Affect the Future</w:t>
      </w:r>
    </w:p>
    <w:p w14:paraId="5E52A789" w14:textId="133E4168" w:rsidR="006755B1" w:rsidRPr="00BE6228" w:rsidRDefault="006755B1" w:rsidP="006755B1">
      <w:pPr>
        <w:autoSpaceDE w:val="0"/>
        <w:autoSpaceDN w:val="0"/>
        <w:adjustRightInd w:val="0"/>
        <w:rPr>
          <w:rFonts w:cs="Times New Roman"/>
          <w:highlight w:val="yellow"/>
        </w:rPr>
      </w:pPr>
      <w:r w:rsidRPr="00C02D6A">
        <w:rPr>
          <w:rFonts w:cs="Times New Roman"/>
        </w:rPr>
        <w:t>Following a trend that began in FY 2009, the College’s state operating appropriations continued to decrease through FY 2013.  Beginning FY 201</w:t>
      </w:r>
      <w:r w:rsidR="00BE6228">
        <w:rPr>
          <w:rFonts w:cs="Times New Roman"/>
        </w:rPr>
        <w:t>6</w:t>
      </w:r>
      <w:r w:rsidRPr="00C02D6A">
        <w:rPr>
          <w:rFonts w:cs="Times New Roman"/>
        </w:rPr>
        <w:t>, the Legislature enacted the Affordable Education Act, which reduced tuition by 5% at the College.</w:t>
      </w:r>
      <w:r>
        <w:rPr>
          <w:rFonts w:cs="Times New Roman"/>
        </w:rPr>
        <w:t xml:space="preserve"> This will further reduce the amount of tuition collected by the College. The Legislature did however</w:t>
      </w:r>
      <w:r w:rsidR="00BE6228">
        <w:rPr>
          <w:rFonts w:cs="Times New Roman"/>
        </w:rPr>
        <w:t xml:space="preserve"> partially</w:t>
      </w:r>
      <w:r>
        <w:rPr>
          <w:rFonts w:cs="Times New Roman"/>
        </w:rPr>
        <w:t xml:space="preserve"> backfill this loss. In FY 2017, the State Board for Community and Technical College’s has elected to move to a new allocation model, changing how the state allocated funds are distributed to each college. </w:t>
      </w:r>
      <w:r w:rsidRPr="000A4738">
        <w:rPr>
          <w:rFonts w:cs="Times New Roman"/>
        </w:rPr>
        <w:t xml:space="preserve">The new model is based on performance in several key indicators, from general enrollments to enrollments in high cost programs, as well as student completion and achievement points. The model is based on a three-year rolling average of enrollments and completions, </w:t>
      </w:r>
      <w:r w:rsidRPr="00C02D6A">
        <w:rPr>
          <w:rFonts w:cs="Times New Roman"/>
        </w:rPr>
        <w:t>comparative to other institutions in the state. Due to decreases in enrollment, the College may see a decrease in state operating appropriations</w:t>
      </w:r>
      <w:r w:rsidR="00BE6228">
        <w:rPr>
          <w:rFonts w:cs="Times New Roman"/>
        </w:rPr>
        <w:t xml:space="preserve"> and tuition collections</w:t>
      </w:r>
      <w:r w:rsidRPr="00C02D6A">
        <w:rPr>
          <w:rFonts w:cs="Times New Roman"/>
        </w:rPr>
        <w:t xml:space="preserve"> in future years</w:t>
      </w:r>
      <w:r>
        <w:rPr>
          <w:rFonts w:cs="Times New Roman"/>
        </w:rPr>
        <w:t>.</w:t>
      </w:r>
      <w:r w:rsidR="00BE6228">
        <w:rPr>
          <w:rFonts w:cs="Times New Roman"/>
        </w:rPr>
        <w:t xml:space="preserve">  It is</w:t>
      </w:r>
      <w:r w:rsidRPr="000A4738">
        <w:rPr>
          <w:rFonts w:cs="Times New Roman"/>
        </w:rPr>
        <w:t xml:space="preserve"> unclear how much opportunity there may be for additional investments in community and technical co</w:t>
      </w:r>
      <w:r w:rsidR="00BE6228">
        <w:rPr>
          <w:rFonts w:cs="Times New Roman"/>
        </w:rPr>
        <w:t>lleges in the next few years</w:t>
      </w:r>
      <w:r w:rsidRPr="000A4738">
        <w:rPr>
          <w:rFonts w:cs="Times New Roman"/>
        </w:rPr>
        <w:t xml:space="preserve">.  </w:t>
      </w:r>
    </w:p>
    <w:p w14:paraId="23F22723" w14:textId="77777777" w:rsidR="006755B1" w:rsidRDefault="006755B1" w:rsidP="006755B1">
      <w:pPr>
        <w:autoSpaceDE w:val="0"/>
        <w:autoSpaceDN w:val="0"/>
        <w:adjustRightInd w:val="0"/>
        <w:rPr>
          <w:rFonts w:cs="Times New Roman"/>
        </w:rPr>
      </w:pPr>
    </w:p>
    <w:p w14:paraId="1BD42091" w14:textId="77777777" w:rsidR="006755B1" w:rsidRDefault="006755B1" w:rsidP="006755B1">
      <w:pPr>
        <w:autoSpaceDE w:val="0"/>
        <w:autoSpaceDN w:val="0"/>
        <w:adjustRightInd w:val="0"/>
        <w:rPr>
          <w:rFonts w:cs="Times New Roman"/>
        </w:rPr>
      </w:pPr>
    </w:p>
    <w:p w14:paraId="33F20CA7" w14:textId="77777777" w:rsidR="006755B1" w:rsidRDefault="006755B1" w:rsidP="006755B1">
      <w:pPr>
        <w:autoSpaceDE w:val="0"/>
        <w:autoSpaceDN w:val="0"/>
        <w:adjustRightInd w:val="0"/>
        <w:rPr>
          <w:rFonts w:cs="Times New Roman"/>
        </w:rPr>
      </w:pPr>
    </w:p>
    <w:p w14:paraId="67DC426D" w14:textId="77777777" w:rsidR="006755B1" w:rsidRDefault="006755B1" w:rsidP="006755B1">
      <w:pPr>
        <w:autoSpaceDE w:val="0"/>
        <w:autoSpaceDN w:val="0"/>
        <w:adjustRightInd w:val="0"/>
        <w:rPr>
          <w:rFonts w:cs="Times New Roman"/>
        </w:rPr>
      </w:pPr>
    </w:p>
    <w:p w14:paraId="07ED2EAF" w14:textId="77777777" w:rsidR="006755B1" w:rsidRDefault="006755B1" w:rsidP="006755B1">
      <w:pPr>
        <w:autoSpaceDE w:val="0"/>
        <w:autoSpaceDN w:val="0"/>
        <w:adjustRightInd w:val="0"/>
        <w:rPr>
          <w:rFonts w:cs="Times New Roman"/>
        </w:rPr>
      </w:pPr>
    </w:p>
    <w:p w14:paraId="3124B64F" w14:textId="77777777" w:rsidR="006755B1" w:rsidRDefault="006755B1" w:rsidP="006755B1">
      <w:pPr>
        <w:autoSpaceDE w:val="0"/>
        <w:autoSpaceDN w:val="0"/>
        <w:adjustRightInd w:val="0"/>
        <w:rPr>
          <w:rFonts w:cs="Times New Roman"/>
        </w:rPr>
      </w:pPr>
    </w:p>
    <w:p w14:paraId="6872BA28" w14:textId="77777777" w:rsidR="006755B1" w:rsidRDefault="006755B1" w:rsidP="006755B1">
      <w:pPr>
        <w:autoSpaceDE w:val="0"/>
        <w:autoSpaceDN w:val="0"/>
        <w:adjustRightInd w:val="0"/>
        <w:rPr>
          <w:rFonts w:cs="Times New Roman"/>
        </w:rPr>
      </w:pPr>
    </w:p>
    <w:p w14:paraId="145C78FC" w14:textId="77777777" w:rsidR="006755B1" w:rsidRDefault="006755B1" w:rsidP="006755B1">
      <w:pPr>
        <w:autoSpaceDE w:val="0"/>
        <w:autoSpaceDN w:val="0"/>
        <w:adjustRightInd w:val="0"/>
        <w:rPr>
          <w:rFonts w:cs="Times New Roman"/>
        </w:rPr>
      </w:pPr>
    </w:p>
    <w:p w14:paraId="3A9A16F7" w14:textId="77777777" w:rsidR="006755B1" w:rsidRDefault="006755B1" w:rsidP="006755B1">
      <w:pPr>
        <w:autoSpaceDE w:val="0"/>
        <w:autoSpaceDN w:val="0"/>
        <w:adjustRightInd w:val="0"/>
        <w:rPr>
          <w:rFonts w:cs="Times New Roman"/>
        </w:rPr>
      </w:pPr>
    </w:p>
    <w:p w14:paraId="446FDD25" w14:textId="77777777" w:rsidR="006755B1" w:rsidRDefault="006755B1" w:rsidP="006755B1">
      <w:pPr>
        <w:autoSpaceDE w:val="0"/>
        <w:autoSpaceDN w:val="0"/>
        <w:adjustRightInd w:val="0"/>
        <w:rPr>
          <w:rFonts w:cs="Times New Roman"/>
        </w:rPr>
      </w:pPr>
    </w:p>
    <w:p w14:paraId="12839F00" w14:textId="77777777" w:rsidR="006755B1" w:rsidRDefault="006755B1" w:rsidP="006755B1">
      <w:pPr>
        <w:autoSpaceDE w:val="0"/>
        <w:autoSpaceDN w:val="0"/>
        <w:adjustRightInd w:val="0"/>
        <w:rPr>
          <w:rFonts w:cs="Times New Roman"/>
        </w:rPr>
      </w:pPr>
    </w:p>
    <w:p w14:paraId="5E776C36" w14:textId="77777777" w:rsidR="006755B1" w:rsidRDefault="006755B1" w:rsidP="006755B1">
      <w:pPr>
        <w:autoSpaceDE w:val="0"/>
        <w:autoSpaceDN w:val="0"/>
        <w:adjustRightInd w:val="0"/>
        <w:rPr>
          <w:rFonts w:cs="Times New Roman"/>
        </w:rPr>
      </w:pPr>
    </w:p>
    <w:p w14:paraId="267F29B6" w14:textId="77777777" w:rsidR="006755B1" w:rsidRDefault="006755B1" w:rsidP="006755B1">
      <w:pPr>
        <w:autoSpaceDE w:val="0"/>
        <w:autoSpaceDN w:val="0"/>
        <w:adjustRightInd w:val="0"/>
        <w:rPr>
          <w:rFonts w:cs="Times New Roman"/>
        </w:rPr>
      </w:pPr>
    </w:p>
    <w:p w14:paraId="776FF9A4" w14:textId="77777777" w:rsidR="006755B1" w:rsidRDefault="006755B1" w:rsidP="006755B1">
      <w:pPr>
        <w:autoSpaceDE w:val="0"/>
        <w:autoSpaceDN w:val="0"/>
        <w:adjustRightInd w:val="0"/>
        <w:rPr>
          <w:rFonts w:cs="Times New Roman"/>
        </w:rPr>
      </w:pPr>
    </w:p>
    <w:p w14:paraId="1DC8F035" w14:textId="77777777" w:rsidR="006755B1" w:rsidRDefault="006755B1" w:rsidP="006755B1">
      <w:pPr>
        <w:autoSpaceDE w:val="0"/>
        <w:autoSpaceDN w:val="0"/>
        <w:adjustRightInd w:val="0"/>
        <w:rPr>
          <w:rFonts w:cs="Times New Roman"/>
        </w:rPr>
      </w:pPr>
    </w:p>
    <w:p w14:paraId="40B3DCD2" w14:textId="77777777" w:rsidR="006755B1" w:rsidRDefault="006755B1" w:rsidP="006755B1">
      <w:pPr>
        <w:autoSpaceDE w:val="0"/>
        <w:autoSpaceDN w:val="0"/>
        <w:adjustRightInd w:val="0"/>
        <w:rPr>
          <w:rFonts w:cs="Times New Roman"/>
        </w:rPr>
      </w:pPr>
    </w:p>
    <w:p w14:paraId="4F2B4DA3" w14:textId="77777777" w:rsidR="006755B1" w:rsidRDefault="006755B1" w:rsidP="006755B1">
      <w:pPr>
        <w:autoSpaceDE w:val="0"/>
        <w:autoSpaceDN w:val="0"/>
        <w:adjustRightInd w:val="0"/>
        <w:rPr>
          <w:rFonts w:cs="Times New Roman"/>
        </w:rPr>
      </w:pPr>
    </w:p>
    <w:p w14:paraId="4B4E4EE4" w14:textId="77777777" w:rsidR="006755B1" w:rsidRDefault="006755B1" w:rsidP="006755B1">
      <w:pPr>
        <w:autoSpaceDE w:val="0"/>
        <w:autoSpaceDN w:val="0"/>
        <w:adjustRightInd w:val="0"/>
        <w:rPr>
          <w:rFonts w:cs="Times New Roman"/>
        </w:rPr>
      </w:pPr>
    </w:p>
    <w:p w14:paraId="16355127" w14:textId="77777777" w:rsidR="006755B1" w:rsidRDefault="006755B1" w:rsidP="006755B1">
      <w:pPr>
        <w:autoSpaceDE w:val="0"/>
        <w:autoSpaceDN w:val="0"/>
        <w:adjustRightInd w:val="0"/>
        <w:rPr>
          <w:rFonts w:cs="Times New Roman"/>
        </w:rPr>
      </w:pPr>
    </w:p>
    <w:p w14:paraId="16771438" w14:textId="77777777" w:rsidR="006755B1" w:rsidRDefault="006755B1" w:rsidP="006755B1">
      <w:pPr>
        <w:autoSpaceDE w:val="0"/>
        <w:autoSpaceDN w:val="0"/>
        <w:adjustRightInd w:val="0"/>
        <w:rPr>
          <w:rFonts w:cs="Times New Roman"/>
        </w:rPr>
      </w:pPr>
    </w:p>
    <w:p w14:paraId="22734985" w14:textId="77777777" w:rsidR="006755B1" w:rsidRDefault="006755B1" w:rsidP="006755B1">
      <w:pPr>
        <w:autoSpaceDE w:val="0"/>
        <w:autoSpaceDN w:val="0"/>
        <w:adjustRightInd w:val="0"/>
        <w:rPr>
          <w:rFonts w:cs="Times New Roman"/>
        </w:rPr>
      </w:pPr>
    </w:p>
    <w:p w14:paraId="3BD82811" w14:textId="77777777" w:rsidR="006755B1" w:rsidRDefault="006755B1" w:rsidP="006755B1">
      <w:pPr>
        <w:autoSpaceDE w:val="0"/>
        <w:autoSpaceDN w:val="0"/>
        <w:adjustRightInd w:val="0"/>
        <w:rPr>
          <w:rFonts w:cs="Times New Roman"/>
        </w:rPr>
      </w:pPr>
    </w:p>
    <w:p w14:paraId="6E85E938" w14:textId="77777777" w:rsidR="006755B1" w:rsidRDefault="006755B1" w:rsidP="006755B1">
      <w:pPr>
        <w:autoSpaceDE w:val="0"/>
        <w:autoSpaceDN w:val="0"/>
        <w:adjustRightInd w:val="0"/>
        <w:rPr>
          <w:rFonts w:cs="Times New Roman"/>
        </w:rPr>
      </w:pPr>
    </w:p>
    <w:p w14:paraId="51CA977A" w14:textId="77777777" w:rsidR="003F6741" w:rsidRPr="00AE1BFE" w:rsidRDefault="002B69DB" w:rsidP="003F6741">
      <w:pPr>
        <w:pStyle w:val="Heading1"/>
        <w:rPr>
          <w:color w:val="auto"/>
        </w:rPr>
      </w:pPr>
      <w:bookmarkStart w:id="11" w:name="_Toc498672890"/>
      <w:r w:rsidRPr="00AE1BFE">
        <w:rPr>
          <w:color w:val="auto"/>
        </w:rPr>
        <w:lastRenderedPageBreak/>
        <w:t xml:space="preserve">Skagit Valley </w:t>
      </w:r>
      <w:r w:rsidR="00291240" w:rsidRPr="00AE1BFE">
        <w:rPr>
          <w:color w:val="auto"/>
        </w:rPr>
        <w:t xml:space="preserve">College </w:t>
      </w:r>
      <w:r w:rsidR="003F6741" w:rsidRPr="00AE1BFE">
        <w:rPr>
          <w:color w:val="auto"/>
        </w:rPr>
        <w:t>Statement of Net Position</w:t>
      </w:r>
      <w:bookmarkEnd w:id="11"/>
    </w:p>
    <w:p w14:paraId="3CAA275F" w14:textId="16D7E241" w:rsidR="002B69DB" w:rsidRDefault="00493ACC" w:rsidP="00AE1BFE">
      <w:pPr>
        <w:jc w:val="center"/>
      </w:pPr>
      <w:r w:rsidRPr="00493ACC">
        <w:rPr>
          <w:noProof/>
        </w:rPr>
        <w:drawing>
          <wp:inline distT="0" distB="0" distL="0" distR="0" wp14:anchorId="5BCC0A81" wp14:editId="429C6A51">
            <wp:extent cx="5175849" cy="721399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3666" cy="7224885"/>
                    </a:xfrm>
                    <a:prstGeom prst="rect">
                      <a:avLst/>
                    </a:prstGeom>
                    <a:noFill/>
                    <a:ln>
                      <a:noFill/>
                    </a:ln>
                  </pic:spPr>
                </pic:pic>
              </a:graphicData>
            </a:graphic>
          </wp:inline>
        </w:drawing>
      </w:r>
    </w:p>
    <w:p w14:paraId="66B54A44" w14:textId="77777777" w:rsidR="003F6741" w:rsidRPr="00AE1BFE" w:rsidRDefault="002B69DB" w:rsidP="003F6741">
      <w:pPr>
        <w:pStyle w:val="Heading1"/>
        <w:rPr>
          <w:color w:val="auto"/>
        </w:rPr>
      </w:pPr>
      <w:bookmarkStart w:id="12" w:name="_Toc498672891"/>
      <w:r w:rsidRPr="00AE1BFE">
        <w:rPr>
          <w:color w:val="auto"/>
        </w:rPr>
        <w:lastRenderedPageBreak/>
        <w:t xml:space="preserve">Skagit Valley </w:t>
      </w:r>
      <w:r w:rsidR="00291240" w:rsidRPr="00AE1BFE">
        <w:rPr>
          <w:color w:val="auto"/>
        </w:rPr>
        <w:t xml:space="preserve">College </w:t>
      </w:r>
      <w:r w:rsidR="003F6741" w:rsidRPr="00AE1BFE">
        <w:rPr>
          <w:color w:val="auto"/>
        </w:rPr>
        <w:t>Statement of Revenues, Expenditures and Changes in Net Position</w:t>
      </w:r>
      <w:bookmarkEnd w:id="12"/>
    </w:p>
    <w:p w14:paraId="12458788" w14:textId="6D9C4519" w:rsidR="003F6741" w:rsidRDefault="00493ACC" w:rsidP="00AE1BFE">
      <w:pPr>
        <w:jc w:val="center"/>
      </w:pPr>
      <w:r w:rsidRPr="00493ACC">
        <w:rPr>
          <w:noProof/>
        </w:rPr>
        <w:drawing>
          <wp:inline distT="0" distB="0" distL="0" distR="0" wp14:anchorId="18E7A61E" wp14:editId="630C5888">
            <wp:extent cx="4675517" cy="69973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583" cy="7004953"/>
                    </a:xfrm>
                    <a:prstGeom prst="rect">
                      <a:avLst/>
                    </a:prstGeom>
                    <a:noFill/>
                    <a:ln>
                      <a:noFill/>
                    </a:ln>
                  </pic:spPr>
                </pic:pic>
              </a:graphicData>
            </a:graphic>
          </wp:inline>
        </w:drawing>
      </w:r>
    </w:p>
    <w:p w14:paraId="106D1A7E" w14:textId="77777777" w:rsidR="003F6741" w:rsidRDefault="002B69DB" w:rsidP="003F6741">
      <w:pPr>
        <w:pStyle w:val="Heading1"/>
      </w:pPr>
      <w:bookmarkStart w:id="13" w:name="_Toc498672892"/>
      <w:r w:rsidRPr="00AE1BFE">
        <w:rPr>
          <w:color w:val="auto"/>
        </w:rPr>
        <w:lastRenderedPageBreak/>
        <w:t xml:space="preserve">Skagit Valley </w:t>
      </w:r>
      <w:r w:rsidR="00291240" w:rsidRPr="00AE1BFE">
        <w:rPr>
          <w:color w:val="auto"/>
        </w:rPr>
        <w:t xml:space="preserve">College </w:t>
      </w:r>
      <w:r w:rsidR="003F6741" w:rsidRPr="00AE1BFE">
        <w:rPr>
          <w:color w:val="auto"/>
        </w:rPr>
        <w:t>Statement of Cash Flows</w:t>
      </w:r>
      <w:bookmarkEnd w:id="13"/>
    </w:p>
    <w:p w14:paraId="7BDCA730" w14:textId="4716CA19" w:rsidR="003F6741" w:rsidRDefault="00493ACC" w:rsidP="00AE1BFE">
      <w:pPr>
        <w:pStyle w:val="NoSpacing"/>
        <w:jc w:val="center"/>
      </w:pPr>
      <w:r w:rsidRPr="00493ACC">
        <w:rPr>
          <w:noProof/>
        </w:rPr>
        <w:drawing>
          <wp:inline distT="0" distB="0" distL="0" distR="0" wp14:anchorId="29535256" wp14:editId="673C969F">
            <wp:extent cx="4252823" cy="693342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0612" cy="6978731"/>
                    </a:xfrm>
                    <a:prstGeom prst="rect">
                      <a:avLst/>
                    </a:prstGeom>
                    <a:noFill/>
                    <a:ln>
                      <a:noFill/>
                    </a:ln>
                  </pic:spPr>
                </pic:pic>
              </a:graphicData>
            </a:graphic>
          </wp:inline>
        </w:drawing>
      </w:r>
    </w:p>
    <w:p w14:paraId="125004B0" w14:textId="77777777" w:rsidR="00CC5807" w:rsidRPr="00CC5807" w:rsidRDefault="00CC5807" w:rsidP="00CC5807">
      <w:pPr>
        <w:pStyle w:val="NoSpacing"/>
        <w:jc w:val="center"/>
        <w:rPr>
          <w:sz w:val="14"/>
        </w:rPr>
      </w:pPr>
      <w:r w:rsidRPr="00CC5807">
        <w:rPr>
          <w:sz w:val="14"/>
        </w:rPr>
        <w:t xml:space="preserve">                                         </w:t>
      </w:r>
    </w:p>
    <w:p w14:paraId="2BDDCD56" w14:textId="4F0EB458" w:rsidR="00CC5807" w:rsidRPr="00CC5807" w:rsidRDefault="002F0078" w:rsidP="00CC5807">
      <w:pPr>
        <w:pStyle w:val="NoSpacing"/>
        <w:jc w:val="center"/>
        <w:rPr>
          <w:sz w:val="22"/>
        </w:rPr>
      </w:pPr>
      <w:r>
        <w:rPr>
          <w:sz w:val="22"/>
        </w:rPr>
        <w:t xml:space="preserve">                              </w:t>
      </w:r>
      <w:r w:rsidR="00CC5807" w:rsidRPr="00CC5807">
        <w:rPr>
          <w:sz w:val="22"/>
        </w:rPr>
        <w:t>Continued on next page</w:t>
      </w:r>
    </w:p>
    <w:p w14:paraId="5B06DC6A" w14:textId="77777777" w:rsidR="003F6741" w:rsidRDefault="00281749" w:rsidP="00281749">
      <w:pPr>
        <w:pStyle w:val="Heading1"/>
      </w:pPr>
      <w:bookmarkStart w:id="14" w:name="_Toc498672893"/>
      <w:r w:rsidRPr="00AE1BFE">
        <w:rPr>
          <w:color w:val="auto"/>
        </w:rPr>
        <w:lastRenderedPageBreak/>
        <w:t>Skagit Valley College Statement of Cash Flows – Continued</w:t>
      </w:r>
      <w:bookmarkEnd w:id="14"/>
    </w:p>
    <w:p w14:paraId="3142B1A4" w14:textId="77777777" w:rsidR="00281749" w:rsidRDefault="00281749" w:rsidP="003F6741">
      <w:pPr>
        <w:pStyle w:val="NoSpacing"/>
      </w:pPr>
    </w:p>
    <w:p w14:paraId="6651E67B" w14:textId="68FE27FD" w:rsidR="003F6741" w:rsidRDefault="003F6741" w:rsidP="00493ACC">
      <w:pPr>
        <w:pStyle w:val="NoSpacing"/>
      </w:pPr>
    </w:p>
    <w:p w14:paraId="6F03E01C" w14:textId="77777777" w:rsidR="003F6741" w:rsidRDefault="003F6741" w:rsidP="003F6741">
      <w:pPr>
        <w:pStyle w:val="NoSpacing"/>
      </w:pPr>
    </w:p>
    <w:p w14:paraId="02B993CD" w14:textId="1BD28C00" w:rsidR="00291240" w:rsidRDefault="00493ACC" w:rsidP="00493ACC">
      <w:pPr>
        <w:jc w:val="center"/>
      </w:pPr>
      <w:r w:rsidRPr="00493ACC">
        <w:rPr>
          <w:noProof/>
        </w:rPr>
        <w:drawing>
          <wp:inline distT="0" distB="0" distL="0" distR="0" wp14:anchorId="3CA7951E" wp14:editId="335DB3B3">
            <wp:extent cx="4899015" cy="35282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2039" cy="3544786"/>
                    </a:xfrm>
                    <a:prstGeom prst="rect">
                      <a:avLst/>
                    </a:prstGeom>
                    <a:noFill/>
                    <a:ln>
                      <a:noFill/>
                    </a:ln>
                  </pic:spPr>
                </pic:pic>
              </a:graphicData>
            </a:graphic>
          </wp:inline>
        </w:drawing>
      </w:r>
    </w:p>
    <w:p w14:paraId="2467DC3E" w14:textId="77777777" w:rsidR="00281749" w:rsidRDefault="00281749"/>
    <w:p w14:paraId="3F78F5EA" w14:textId="77777777" w:rsidR="00281749" w:rsidRDefault="00281749"/>
    <w:p w14:paraId="1E7EF61D" w14:textId="77777777" w:rsidR="00281749" w:rsidRDefault="00281749"/>
    <w:p w14:paraId="07B483CA" w14:textId="77777777" w:rsidR="00281749" w:rsidRDefault="00281749"/>
    <w:p w14:paraId="33309A46" w14:textId="77777777" w:rsidR="00281749" w:rsidRDefault="00281749"/>
    <w:p w14:paraId="6A9B4A9D" w14:textId="77777777" w:rsidR="00281749" w:rsidRDefault="00281749"/>
    <w:p w14:paraId="628A6B69" w14:textId="77777777" w:rsidR="00281749" w:rsidRDefault="00281749"/>
    <w:p w14:paraId="73477714" w14:textId="77777777" w:rsidR="00281749" w:rsidRDefault="00281749"/>
    <w:p w14:paraId="17B0359A" w14:textId="77777777" w:rsidR="00281749" w:rsidRDefault="00281749"/>
    <w:p w14:paraId="5E0507D2" w14:textId="77777777" w:rsidR="00281749" w:rsidRDefault="00281749"/>
    <w:p w14:paraId="0209E9F2" w14:textId="77777777" w:rsidR="00281749" w:rsidRDefault="00281749"/>
    <w:p w14:paraId="5160968B" w14:textId="77777777" w:rsidR="00281749" w:rsidRDefault="00281749"/>
    <w:p w14:paraId="017C4418" w14:textId="77777777" w:rsidR="00281749" w:rsidRDefault="00281749"/>
    <w:p w14:paraId="174CFEEC" w14:textId="77777777" w:rsidR="00281749" w:rsidRDefault="00281749"/>
    <w:p w14:paraId="7FDC7208" w14:textId="77777777" w:rsidR="00281749" w:rsidRDefault="00281749"/>
    <w:p w14:paraId="7260B5F4" w14:textId="3F171C7B" w:rsidR="00281749" w:rsidRDefault="00281749"/>
    <w:p w14:paraId="033135C0" w14:textId="77777777" w:rsidR="00291240" w:rsidRPr="002F0078" w:rsidRDefault="00291240" w:rsidP="00291240">
      <w:pPr>
        <w:pStyle w:val="Heading1"/>
        <w:rPr>
          <w:color w:val="auto"/>
        </w:rPr>
      </w:pPr>
      <w:bookmarkStart w:id="15" w:name="_Toc498672894"/>
      <w:r w:rsidRPr="002F0078">
        <w:rPr>
          <w:color w:val="auto"/>
        </w:rPr>
        <w:lastRenderedPageBreak/>
        <w:t xml:space="preserve">Foundation Statement of </w:t>
      </w:r>
      <w:r w:rsidR="00CD45F8" w:rsidRPr="002F0078">
        <w:rPr>
          <w:color w:val="auto"/>
        </w:rPr>
        <w:t>Financial</w:t>
      </w:r>
      <w:r w:rsidRPr="002F0078">
        <w:rPr>
          <w:color w:val="auto"/>
        </w:rPr>
        <w:t xml:space="preserve"> Position</w:t>
      </w:r>
      <w:bookmarkEnd w:id="15"/>
    </w:p>
    <w:p w14:paraId="7FFD2A78" w14:textId="77777777" w:rsidR="00291240" w:rsidRDefault="00281749">
      <w:r w:rsidRPr="00281749">
        <w:rPr>
          <w:noProof/>
        </w:rPr>
        <w:drawing>
          <wp:inline distT="0" distB="0" distL="0" distR="0" wp14:anchorId="7ECFE236" wp14:editId="7F6C5C09">
            <wp:extent cx="5943138" cy="6217920"/>
            <wp:effectExtent l="0" t="0" r="635" b="0"/>
            <wp:docPr id="24" name="Picture 24" descr="C:\Users\Julie.Edwards\Desktop\Foundation Audit June 2017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Edwards\Desktop\Foundation Audit June 2017_Page_0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9154"/>
                    <a:stretch/>
                  </pic:blipFill>
                  <pic:spPr bwMode="auto">
                    <a:xfrm>
                      <a:off x="0" y="0"/>
                      <a:ext cx="5943600" cy="6218403"/>
                    </a:xfrm>
                    <a:prstGeom prst="rect">
                      <a:avLst/>
                    </a:prstGeom>
                    <a:noFill/>
                    <a:ln>
                      <a:noFill/>
                    </a:ln>
                    <a:extLst>
                      <a:ext uri="{53640926-AAD7-44D8-BBD7-CCE9431645EC}">
                        <a14:shadowObscured xmlns:a14="http://schemas.microsoft.com/office/drawing/2010/main"/>
                      </a:ext>
                    </a:extLst>
                  </pic:spPr>
                </pic:pic>
              </a:graphicData>
            </a:graphic>
          </wp:inline>
        </w:drawing>
      </w:r>
    </w:p>
    <w:p w14:paraId="162D4BF6" w14:textId="77777777" w:rsidR="002F0078" w:rsidRDefault="002F0078" w:rsidP="00291240">
      <w:pPr>
        <w:pStyle w:val="Heading1"/>
      </w:pPr>
    </w:p>
    <w:p w14:paraId="2E532FC9" w14:textId="5D656700" w:rsidR="00291240" w:rsidRPr="002F0078" w:rsidRDefault="00291240" w:rsidP="00291240">
      <w:pPr>
        <w:pStyle w:val="Heading1"/>
        <w:rPr>
          <w:color w:val="auto"/>
        </w:rPr>
      </w:pPr>
      <w:bookmarkStart w:id="16" w:name="_Toc498672895"/>
      <w:r w:rsidRPr="002F0078">
        <w:rPr>
          <w:color w:val="auto"/>
        </w:rPr>
        <w:t xml:space="preserve">Foundation Statement of </w:t>
      </w:r>
      <w:r w:rsidR="00CD45F8" w:rsidRPr="002F0078">
        <w:rPr>
          <w:color w:val="auto"/>
        </w:rPr>
        <w:t>Activit</w:t>
      </w:r>
      <w:r w:rsidR="00344123" w:rsidRPr="002F0078">
        <w:rPr>
          <w:color w:val="auto"/>
        </w:rPr>
        <w:t>i</w:t>
      </w:r>
      <w:r w:rsidR="00CD45F8" w:rsidRPr="002F0078">
        <w:rPr>
          <w:color w:val="auto"/>
        </w:rPr>
        <w:t>es</w:t>
      </w:r>
      <w:bookmarkEnd w:id="16"/>
    </w:p>
    <w:p w14:paraId="485D04F7" w14:textId="77777777" w:rsidR="00291240" w:rsidRDefault="00291240" w:rsidP="00291240">
      <w:pPr>
        <w:pStyle w:val="NoSpacing"/>
      </w:pPr>
    </w:p>
    <w:p w14:paraId="3394547E" w14:textId="77777777" w:rsidR="00291240" w:rsidRDefault="00281749" w:rsidP="00291240">
      <w:r w:rsidRPr="00281749">
        <w:rPr>
          <w:noProof/>
        </w:rPr>
        <w:drawing>
          <wp:inline distT="0" distB="0" distL="0" distR="0" wp14:anchorId="3B973F84" wp14:editId="41858503">
            <wp:extent cx="5943002" cy="3578087"/>
            <wp:effectExtent l="0" t="0" r="635" b="3810"/>
            <wp:docPr id="25" name="Picture 25" descr="C:\Users\Julie.Edwards\Desktop\Foundation Audit June 2017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ulie.Edwards\Desktop\Foundation Audit June 2017_Page_0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2086"/>
                    <a:stretch/>
                  </pic:blipFill>
                  <pic:spPr bwMode="auto">
                    <a:xfrm>
                      <a:off x="0" y="0"/>
                      <a:ext cx="5943600" cy="3578447"/>
                    </a:xfrm>
                    <a:prstGeom prst="rect">
                      <a:avLst/>
                    </a:prstGeom>
                    <a:noFill/>
                    <a:ln>
                      <a:noFill/>
                    </a:ln>
                    <a:extLst>
                      <a:ext uri="{53640926-AAD7-44D8-BBD7-CCE9431645EC}">
                        <a14:shadowObscured xmlns:a14="http://schemas.microsoft.com/office/drawing/2010/main"/>
                      </a:ext>
                    </a:extLst>
                  </pic:spPr>
                </pic:pic>
              </a:graphicData>
            </a:graphic>
          </wp:inline>
        </w:drawing>
      </w:r>
    </w:p>
    <w:p w14:paraId="5C7A3AAA" w14:textId="77777777" w:rsidR="00291240" w:rsidRDefault="00291240" w:rsidP="00291240">
      <w:pPr>
        <w:pStyle w:val="NoSpacing"/>
      </w:pPr>
    </w:p>
    <w:p w14:paraId="5829843E" w14:textId="77777777" w:rsidR="00291240" w:rsidRDefault="00291240">
      <w:r>
        <w:br w:type="page"/>
      </w:r>
    </w:p>
    <w:p w14:paraId="4BC31B5C" w14:textId="77777777" w:rsidR="00113B57" w:rsidRPr="002F0078" w:rsidRDefault="00113B57" w:rsidP="003F6741">
      <w:pPr>
        <w:pStyle w:val="Heading1"/>
        <w:rPr>
          <w:color w:val="auto"/>
        </w:rPr>
      </w:pPr>
      <w:bookmarkStart w:id="17" w:name="_Toc498672896"/>
      <w:r w:rsidRPr="002F0078">
        <w:rPr>
          <w:color w:val="auto"/>
        </w:rPr>
        <w:lastRenderedPageBreak/>
        <w:t>Notes to the Financial Statements</w:t>
      </w:r>
      <w:bookmarkEnd w:id="17"/>
    </w:p>
    <w:p w14:paraId="16FD7449" w14:textId="77777777" w:rsidR="00113B57" w:rsidRPr="00A74F62" w:rsidRDefault="00113B57" w:rsidP="00D0793D">
      <w:pPr>
        <w:rPr>
          <w:i/>
          <w:iCs/>
        </w:rPr>
      </w:pPr>
      <w:r w:rsidRPr="00A74F62">
        <w:rPr>
          <w:i/>
          <w:iCs/>
        </w:rPr>
        <w:t>June 30, 201</w:t>
      </w:r>
      <w:r w:rsidR="002B69DB">
        <w:rPr>
          <w:i/>
          <w:iCs/>
        </w:rPr>
        <w:t>7</w:t>
      </w:r>
    </w:p>
    <w:p w14:paraId="1462E286" w14:textId="77777777" w:rsidR="00113B57" w:rsidRDefault="00113B57" w:rsidP="00D0793D">
      <w:pPr>
        <w:rPr>
          <w:i/>
          <w:iCs/>
        </w:rPr>
      </w:pPr>
      <w:r w:rsidRPr="00A74F62">
        <w:rPr>
          <w:i/>
          <w:iCs/>
        </w:rPr>
        <w:t>These notes form an integral part of the financial statements.</w:t>
      </w:r>
    </w:p>
    <w:p w14:paraId="3098E587" w14:textId="77777777" w:rsidR="00DD0F5E" w:rsidRDefault="00DD0F5E" w:rsidP="00D0793D">
      <w:pPr>
        <w:rPr>
          <w:i/>
          <w:iCs/>
        </w:rPr>
      </w:pPr>
    </w:p>
    <w:p w14:paraId="74AA4461" w14:textId="77777777" w:rsidR="00561167" w:rsidRPr="00A74F62" w:rsidRDefault="00561167" w:rsidP="00561167">
      <w:pPr>
        <w:rPr>
          <w:b/>
          <w:bCs/>
        </w:rPr>
      </w:pPr>
      <w:r w:rsidRPr="00A74F62">
        <w:rPr>
          <w:b/>
          <w:bCs/>
        </w:rPr>
        <w:t>1. Summary of Significant Accounting Policies</w:t>
      </w:r>
    </w:p>
    <w:p w14:paraId="430E435C" w14:textId="77777777" w:rsidR="00561167" w:rsidRDefault="00561167" w:rsidP="00561167">
      <w:pPr>
        <w:rPr>
          <w:b/>
          <w:bCs/>
        </w:rPr>
      </w:pPr>
    </w:p>
    <w:p w14:paraId="153AFFA9" w14:textId="77777777" w:rsidR="00561167" w:rsidRPr="00A74F62" w:rsidRDefault="00561167" w:rsidP="00561167">
      <w:pPr>
        <w:rPr>
          <w:b/>
          <w:bCs/>
        </w:rPr>
      </w:pPr>
      <w:r w:rsidRPr="00A74F62">
        <w:rPr>
          <w:b/>
          <w:bCs/>
        </w:rPr>
        <w:t>Financial Reporting Entity</w:t>
      </w:r>
    </w:p>
    <w:p w14:paraId="136EA4B4" w14:textId="77777777" w:rsidR="00561167" w:rsidRDefault="00561167" w:rsidP="00561167">
      <w:pPr>
        <w:autoSpaceDE w:val="0"/>
        <w:autoSpaceDN w:val="0"/>
        <w:adjustRightInd w:val="0"/>
        <w:rPr>
          <w:rFonts w:cs="Times New Roman"/>
        </w:rPr>
      </w:pPr>
      <w:r w:rsidRPr="00161741">
        <w:rPr>
          <w:rFonts w:cs="Times New Roman"/>
        </w:rPr>
        <w:t>Skagit Valley</w:t>
      </w:r>
      <w:r w:rsidRPr="009F65CF">
        <w:rPr>
          <w:rFonts w:cs="Times New Roman"/>
        </w:rPr>
        <w:t xml:space="preserve"> College</w:t>
      </w:r>
      <w:r w:rsidRPr="00014186">
        <w:rPr>
          <w:rFonts w:cs="Times New Roman"/>
        </w:rPr>
        <w:t xml:space="preserve"> </w:t>
      </w:r>
      <w:r>
        <w:rPr>
          <w:rFonts w:cs="Times New Roman"/>
        </w:rPr>
        <w:t xml:space="preserve">(the College) is a comprehensive community college offering open-door </w:t>
      </w:r>
      <w:r w:rsidRPr="009F65CF">
        <w:rPr>
          <w:rFonts w:cs="Times New Roman"/>
        </w:rPr>
        <w:t>academic programs, workforce education, basic skills, and community services. The College confers</w:t>
      </w:r>
      <w:r w:rsidRPr="00161741">
        <w:rPr>
          <w:rFonts w:cs="Times New Roman"/>
        </w:rPr>
        <w:t xml:space="preserve"> applied baccalaureate degrees,</w:t>
      </w:r>
      <w:r w:rsidRPr="009F65CF">
        <w:rPr>
          <w:rFonts w:cs="Times New Roman"/>
        </w:rPr>
        <w:t xml:space="preserve"> associates degrees, certificates and high school diplomas.  It is governed by a five-member Board of Trustees appointed by the Governor and confirmed by the state Senate.</w:t>
      </w:r>
    </w:p>
    <w:p w14:paraId="16B14A9C" w14:textId="77777777" w:rsidR="00561167" w:rsidRDefault="00561167" w:rsidP="00561167">
      <w:pPr>
        <w:autoSpaceDE w:val="0"/>
        <w:autoSpaceDN w:val="0"/>
        <w:adjustRightInd w:val="0"/>
        <w:rPr>
          <w:rFonts w:cs="Times New Roman"/>
        </w:rPr>
      </w:pPr>
    </w:p>
    <w:p w14:paraId="2A880582" w14:textId="77777777" w:rsidR="00561167" w:rsidRDefault="00561167" w:rsidP="00561167">
      <w:pPr>
        <w:autoSpaceDE w:val="0"/>
        <w:autoSpaceDN w:val="0"/>
        <w:adjustRightInd w:val="0"/>
        <w:rPr>
          <w:rFonts w:cs="Times New Roman"/>
        </w:rPr>
      </w:pPr>
      <w:r>
        <w:rPr>
          <w:rFonts w:cs="Times New Roman"/>
        </w:rPr>
        <w:t xml:space="preserve">The </w:t>
      </w:r>
      <w:r w:rsidRPr="00014186">
        <w:rPr>
          <w:rFonts w:cs="Times New Roman"/>
        </w:rPr>
        <w:t xml:space="preserve">College is </w:t>
      </w:r>
      <w:r>
        <w:rPr>
          <w:rFonts w:cs="Times New Roman"/>
        </w:rPr>
        <w:t>an agency of the State of Washington.  The financial activity of the college is included in the State’s Comprehensive Annual Financial Report.</w:t>
      </w:r>
    </w:p>
    <w:p w14:paraId="3F4826F7" w14:textId="77777777" w:rsidR="00561167" w:rsidRPr="00014186" w:rsidRDefault="00561167" w:rsidP="00561167">
      <w:pPr>
        <w:autoSpaceDE w:val="0"/>
        <w:autoSpaceDN w:val="0"/>
        <w:adjustRightInd w:val="0"/>
        <w:rPr>
          <w:rFonts w:cs="Times New Roman"/>
          <w:i/>
          <w:sz w:val="22"/>
          <w:szCs w:val="22"/>
        </w:rPr>
      </w:pPr>
    </w:p>
    <w:p w14:paraId="4E0BAA4C" w14:textId="77777777" w:rsidR="00561167" w:rsidRDefault="00561167" w:rsidP="00561167">
      <w:pPr>
        <w:autoSpaceDE w:val="0"/>
        <w:autoSpaceDN w:val="0"/>
        <w:adjustRightInd w:val="0"/>
        <w:rPr>
          <w:rFonts w:cs="Times New Roman"/>
        </w:rPr>
      </w:pPr>
      <w:r w:rsidRPr="009F65CF">
        <w:rPr>
          <w:rFonts w:cs="Times New Roman"/>
        </w:rPr>
        <w:t xml:space="preserve">The </w:t>
      </w:r>
      <w:r w:rsidRPr="00161741">
        <w:rPr>
          <w:rFonts w:cs="Times New Roman"/>
        </w:rPr>
        <w:t>Skagit Valley</w:t>
      </w:r>
      <w:r w:rsidRPr="009F65CF">
        <w:rPr>
          <w:rFonts w:cs="Times New Roman"/>
        </w:rPr>
        <w:t xml:space="preserve"> </w:t>
      </w:r>
      <w:r w:rsidRPr="00161741">
        <w:rPr>
          <w:rFonts w:cs="Times New Roman"/>
        </w:rPr>
        <w:t>College Foundation</w:t>
      </w:r>
      <w:r w:rsidRPr="009F65CF">
        <w:rPr>
          <w:rFonts w:cs="Times New Roman"/>
        </w:rPr>
        <w:t xml:space="preserve"> (the Foundation) is a separate but affiliated non-profit entity, incorporated under Washington law in </w:t>
      </w:r>
      <w:r w:rsidRPr="00161741">
        <w:rPr>
          <w:rFonts w:cs="Times New Roman"/>
        </w:rPr>
        <w:t>1978</w:t>
      </w:r>
      <w:r w:rsidRPr="009F65CF">
        <w:rPr>
          <w:rFonts w:cs="Times New Roman"/>
        </w:rPr>
        <w:t xml:space="preserve"> and</w:t>
      </w:r>
      <w:r>
        <w:rPr>
          <w:rFonts w:cs="Times New Roman"/>
        </w:rPr>
        <w:t xml:space="preserve"> recognized as a tax exempt 501(c)(3) charity.  The Foundation’s charitable purpose is to </w:t>
      </w:r>
      <w:r w:rsidRPr="0057070F">
        <w:t>solicit and receive contributions to provide enhancements at Skagit Valley College and support for its students. Activities include support of academic programs and scholarship assistance to students, a</w:t>
      </w:r>
      <w:r>
        <w:t xml:space="preserve">nd operation of student housing. </w:t>
      </w:r>
      <w:r>
        <w:rPr>
          <w:rFonts w:cs="Times New Roman"/>
        </w:rPr>
        <w:t xml:space="preserve">Because the majority of the Foundation’s income and resources are restricted by donors and may only be used for the benefit of the college or its students, the Foundation is considered a discrete component unit based on the criteria contained in Governmental Accounting Standards Board (GASB) Statement Nos. 61, 39 and 14.  A component unit is an entity which is legally separate from the College, but has the potential to provide significant financial benefits to the College or whose relationship with the College is such that excluding it would cause the College’s financial statements to be misleading or incomplete. </w:t>
      </w:r>
    </w:p>
    <w:p w14:paraId="3090F3E9" w14:textId="77777777" w:rsidR="00561167" w:rsidRDefault="00561167" w:rsidP="00561167">
      <w:pPr>
        <w:autoSpaceDE w:val="0"/>
        <w:autoSpaceDN w:val="0"/>
        <w:adjustRightInd w:val="0"/>
        <w:rPr>
          <w:rFonts w:cs="Times New Roman"/>
        </w:rPr>
      </w:pPr>
    </w:p>
    <w:p w14:paraId="43EA045E" w14:textId="77777777" w:rsidR="00561167" w:rsidRPr="00C96C1C" w:rsidRDefault="00561167" w:rsidP="00561167">
      <w:pPr>
        <w:autoSpaceDE w:val="0"/>
        <w:autoSpaceDN w:val="0"/>
        <w:adjustRightInd w:val="0"/>
        <w:rPr>
          <w:rFonts w:cs="Times New Roman"/>
        </w:rPr>
      </w:pPr>
      <w:r>
        <w:rPr>
          <w:rFonts w:cs="Times New Roman"/>
        </w:rPr>
        <w:t xml:space="preserve">The Foundation’s financial statements are discretely presented in this report.  </w:t>
      </w:r>
      <w:r w:rsidRPr="00F60BD6">
        <w:rPr>
          <w:rFonts w:cs="Times New Roman"/>
        </w:rPr>
        <w:t>The Foundation’s statements have been prepared in accordance with accounting principles generally accepted in the United States of America</w:t>
      </w:r>
      <w:r>
        <w:rPr>
          <w:rFonts w:cs="Times New Roman"/>
        </w:rPr>
        <w:t xml:space="preserve">. Intra-entity transactions and balances between the College and the Foundation are not eliminated for financial statement presentation.  During the fiscal year ended June 30, 2017, the Foundation distributed approximately </w:t>
      </w:r>
      <w:r w:rsidRPr="006E1C7B">
        <w:rPr>
          <w:rFonts w:cs="Times New Roman"/>
        </w:rPr>
        <w:t>$761,771</w:t>
      </w:r>
      <w:r>
        <w:rPr>
          <w:rFonts w:cs="Times New Roman"/>
        </w:rPr>
        <w:t xml:space="preserve"> to the College for restricted and unrestricted purposes.  A copy of the Foundation’s complete financial statements may be obtained from the Foundation’s Administrative Offices at 360-416-7821.</w:t>
      </w:r>
    </w:p>
    <w:p w14:paraId="03B65202" w14:textId="77777777" w:rsidR="00561167" w:rsidRPr="005821BE" w:rsidRDefault="00561167" w:rsidP="00561167">
      <w:pPr>
        <w:autoSpaceDE w:val="0"/>
        <w:autoSpaceDN w:val="0"/>
        <w:adjustRightInd w:val="0"/>
        <w:rPr>
          <w:rFonts w:cs="Times New Roman"/>
        </w:rPr>
      </w:pPr>
    </w:p>
    <w:p w14:paraId="0474D1A0" w14:textId="77777777" w:rsidR="00561167" w:rsidRPr="00A74F62" w:rsidRDefault="00561167" w:rsidP="00561167">
      <w:pPr>
        <w:rPr>
          <w:b/>
          <w:bCs/>
        </w:rPr>
      </w:pPr>
      <w:r w:rsidRPr="00A74F62">
        <w:rPr>
          <w:b/>
          <w:bCs/>
        </w:rPr>
        <w:t>Basis of Presentation</w:t>
      </w:r>
    </w:p>
    <w:p w14:paraId="109A91C3" w14:textId="77777777" w:rsidR="00561167" w:rsidRDefault="00561167" w:rsidP="00561167">
      <w:r w:rsidRPr="00A74F62">
        <w:t xml:space="preserve">The financial statements </w:t>
      </w:r>
      <w:r>
        <w:t xml:space="preserve">have been prepared in accordance with GASB Statement No. 34, </w:t>
      </w:r>
      <w:r>
        <w:rPr>
          <w:i/>
        </w:rPr>
        <w:t xml:space="preserve">Basic Financial Statements and Management Discussion and Analysis for State and Local Governments </w:t>
      </w:r>
      <w:r w:rsidRPr="004607A4">
        <w:t>as amended by</w:t>
      </w:r>
      <w:r>
        <w:t xml:space="preserve"> GASB Statement No. 35, </w:t>
      </w:r>
      <w:r>
        <w:rPr>
          <w:i/>
        </w:rPr>
        <w:t xml:space="preserve">Basic Financial Statements and Management Discussion and Analysis for Public Colleges and Universities.  </w:t>
      </w:r>
      <w:r w:rsidRPr="00A74F62">
        <w:t xml:space="preserve">For financial </w:t>
      </w:r>
      <w:r w:rsidRPr="00A74F62">
        <w:lastRenderedPageBreak/>
        <w:t xml:space="preserve">reporting purposes, the </w:t>
      </w:r>
      <w:r>
        <w:t>College</w:t>
      </w:r>
      <w:r w:rsidRPr="00A74F62">
        <w:t xml:space="preserve"> is considered a special-purpose government engaged </w:t>
      </w:r>
      <w:r>
        <w:t xml:space="preserve">only </w:t>
      </w:r>
      <w:r w:rsidRPr="00A74F62">
        <w:t xml:space="preserve">in Business Type Activities (BTA). </w:t>
      </w:r>
      <w:r>
        <w:t xml:space="preserve"> </w:t>
      </w:r>
      <w:r w:rsidRPr="00A74F62">
        <w:t xml:space="preserve">In accordance with BTA reporting, the </w:t>
      </w:r>
      <w:r>
        <w:t>College</w:t>
      </w:r>
      <w:r w:rsidRPr="00A74F62">
        <w:t xml:space="preserve"> presents a Management’s Discussion and Analysis; a Statement of Net </w:t>
      </w:r>
      <w:r>
        <w:t>Position</w:t>
      </w:r>
      <w:r w:rsidRPr="00A74F62">
        <w:t xml:space="preserve">; a Statement of Revenues, Expenses and Changes in Net </w:t>
      </w:r>
      <w:r>
        <w:t>Position</w:t>
      </w:r>
      <w:r w:rsidRPr="00A74F62">
        <w:t>; a Statement of Cash Flows; and Notes to the Financial Statements.</w:t>
      </w:r>
      <w:r>
        <w:t xml:space="preserve"> </w:t>
      </w:r>
      <w:r w:rsidRPr="00A74F62">
        <w:t xml:space="preserve"> </w:t>
      </w:r>
      <w:r>
        <w:t xml:space="preserve">The format provides a comprehensive, entity-wide perspective of the college’s assets, deferred inflows, liabilities, deferred outflows, net position, revenues, expenses, changes in net position and cash flows.  </w:t>
      </w:r>
    </w:p>
    <w:p w14:paraId="14D6A6E1" w14:textId="77777777" w:rsidR="00561167" w:rsidRDefault="00561167" w:rsidP="00561167"/>
    <w:p w14:paraId="09CCD2B1" w14:textId="77777777" w:rsidR="00561167" w:rsidRPr="00A74F62" w:rsidRDefault="00561167" w:rsidP="00561167">
      <w:pPr>
        <w:rPr>
          <w:b/>
          <w:bCs/>
        </w:rPr>
      </w:pPr>
      <w:r w:rsidRPr="00A74F62">
        <w:rPr>
          <w:b/>
          <w:bCs/>
        </w:rPr>
        <w:t>Basis of Accounting</w:t>
      </w:r>
    </w:p>
    <w:p w14:paraId="11BB98AF" w14:textId="77777777" w:rsidR="00561167" w:rsidRDefault="00561167" w:rsidP="00561167">
      <w:r w:rsidRPr="00A74F62">
        <w:t xml:space="preserve">The financial statements of the </w:t>
      </w:r>
      <w:r>
        <w:t>College</w:t>
      </w:r>
      <w:r w:rsidRPr="00A74F62">
        <w:t xml:space="preserve"> have been prepared using the economic resources measurement focus and the accrual basis of accounting. </w:t>
      </w:r>
      <w:r>
        <w:t xml:space="preserve"> </w:t>
      </w:r>
      <w:r w:rsidRPr="00A74F62">
        <w:t>Under the accrual basis, revenues are recognized when earned and expenses are recorded when an obligation has been incurred, regardless of the timing of the cash flows.</w:t>
      </w:r>
      <w:r w:rsidRPr="001B5823">
        <w:t xml:space="preserve"> For the financial statements, </w:t>
      </w:r>
      <w:r>
        <w:t>intra-agency</w:t>
      </w:r>
      <w:r w:rsidRPr="001B5823">
        <w:t xml:space="preserve"> receivables and payables have generally been eliminated.  However, revenues and expenses from the College’s auxiliary enterprises are treated as though the College were dealing with private vendors.  For all other funds, transactions that are reimbursements of expenses are recorded as reductions of expense.</w:t>
      </w:r>
    </w:p>
    <w:p w14:paraId="64DD36E2" w14:textId="77777777" w:rsidR="00561167" w:rsidRPr="00A74F62" w:rsidRDefault="00561167" w:rsidP="00561167"/>
    <w:p w14:paraId="158F569E" w14:textId="77777777" w:rsidR="00561167" w:rsidRDefault="00561167" w:rsidP="00561167">
      <w:r w:rsidRPr="00D75E85">
        <w:t xml:space="preserve">Non-exchange transactions, in which the </w:t>
      </w:r>
      <w:r>
        <w:t>College</w:t>
      </w:r>
      <w:r w:rsidRPr="00D75E85">
        <w:t xml:space="preserve"> receives (or gives) value without directly giving (or receiving) equal value in exchange includes state and federal appropriations, and certain grants and donations. </w:t>
      </w:r>
      <w:r>
        <w:t xml:space="preserve"> </w:t>
      </w:r>
      <w:r w:rsidRPr="00D75E85">
        <w:t xml:space="preserve">Revenues are recognized, net of estimated uncollectible amounts, as soon as all eligibility requirements imposed by the provider have been met. </w:t>
      </w:r>
      <w:r>
        <w:t xml:space="preserve"> </w:t>
      </w:r>
    </w:p>
    <w:p w14:paraId="36FAAF0F" w14:textId="77777777" w:rsidR="00561167" w:rsidRDefault="00561167" w:rsidP="00561167"/>
    <w:p w14:paraId="4A1AAD1D" w14:textId="77777777" w:rsidR="00561167" w:rsidRPr="00161741" w:rsidRDefault="00561167" w:rsidP="00561167">
      <w:r w:rsidRPr="00161741">
        <w:t>The preparation of financial statements in conformity with accounting principles generally accepted in the United States of America requires management to make estimates and assumptions that affect the reported amounts of assets and liabilities and disclosure of contingent assets and liabilities at the date of the financial statements and the reported amounts of revenue and expenses during the reporting period.  Actual results could differ from those estimates.</w:t>
      </w:r>
    </w:p>
    <w:p w14:paraId="7C700321" w14:textId="77777777" w:rsidR="00561167" w:rsidRPr="00C13603" w:rsidRDefault="00561167" w:rsidP="00561167">
      <w:pPr>
        <w:rPr>
          <w:highlight w:val="yellow"/>
        </w:rPr>
      </w:pPr>
    </w:p>
    <w:p w14:paraId="703501C5" w14:textId="77777777" w:rsidR="00561167" w:rsidRPr="006C4437" w:rsidRDefault="00561167" w:rsidP="00561167">
      <w:pPr>
        <w:rPr>
          <w:rFonts w:cs="Times New Roman"/>
          <w:b/>
          <w:bCs/>
        </w:rPr>
      </w:pPr>
      <w:r w:rsidRPr="006C4437">
        <w:rPr>
          <w:rFonts w:cs="Times New Roman"/>
          <w:b/>
          <w:bCs/>
        </w:rPr>
        <w:t>Cash, Cash Equivalents and Investments</w:t>
      </w:r>
    </w:p>
    <w:p w14:paraId="3C91DB47" w14:textId="28585AE1" w:rsidR="00561167" w:rsidRDefault="00561167" w:rsidP="00561167">
      <w:pPr>
        <w:pStyle w:val="NoSpacing"/>
      </w:pPr>
      <w:r w:rsidRPr="00CF02AB">
        <w:t xml:space="preserve">Cash and cash equivalents include cash on hand, bank demand deposits, and deposits with the Washington State Local Government Investment Pool (LGIP). </w:t>
      </w:r>
      <w:r>
        <w:t xml:space="preserve"> </w:t>
      </w:r>
      <w:r w:rsidRPr="00CF02AB">
        <w:t xml:space="preserve">Cash and cash equivalents that are held with the intent to fund </w:t>
      </w:r>
      <w:r>
        <w:t>College</w:t>
      </w:r>
      <w:r w:rsidRPr="00CF02AB">
        <w:t xml:space="preserve"> operations are classified as current assets along with operating funds invested in the LGIP. The </w:t>
      </w:r>
      <w:r>
        <w:t>College</w:t>
      </w:r>
      <w:r w:rsidRPr="00CF02AB">
        <w:t xml:space="preserve"> records all cash, cash equivalent</w:t>
      </w:r>
      <w:r>
        <w:t>s</w:t>
      </w:r>
      <w:r w:rsidRPr="00CF02AB">
        <w:t>, and investments at</w:t>
      </w:r>
      <w:r w:rsidR="00E63AE3">
        <w:t xml:space="preserve"> amortized cost, which approximates fair value.</w:t>
      </w:r>
      <w:r w:rsidRPr="00CF02AB">
        <w:t xml:space="preserve"> </w:t>
      </w:r>
    </w:p>
    <w:p w14:paraId="4295FE3F" w14:textId="77777777" w:rsidR="00561167" w:rsidRPr="00757343" w:rsidRDefault="00561167" w:rsidP="00561167">
      <w:pPr>
        <w:pStyle w:val="NoSpacing"/>
      </w:pPr>
    </w:p>
    <w:p w14:paraId="0F478D5B" w14:textId="77777777" w:rsidR="00561167" w:rsidRPr="00651711" w:rsidRDefault="00561167" w:rsidP="00561167">
      <w:pPr>
        <w:rPr>
          <w:sz w:val="16"/>
          <w:szCs w:val="16"/>
        </w:rPr>
      </w:pPr>
      <w:r w:rsidRPr="00CF02AB">
        <w:t xml:space="preserve">The </w:t>
      </w:r>
      <w:r>
        <w:t>College</w:t>
      </w:r>
      <w:r w:rsidRPr="00CF02AB">
        <w:t xml:space="preserve"> combines unrestricted cash operating funds from all departments into an internal investment pool, the income from which is </w:t>
      </w:r>
      <w:r w:rsidRPr="00161741">
        <w:t>allocated on a proportional basis</w:t>
      </w:r>
    </w:p>
    <w:p w14:paraId="4706A710" w14:textId="77777777" w:rsidR="00561167" w:rsidRPr="00290125" w:rsidRDefault="00561167" w:rsidP="00561167"/>
    <w:p w14:paraId="6543E3D5" w14:textId="77777777" w:rsidR="00561167" w:rsidRPr="00290125" w:rsidRDefault="00561167" w:rsidP="00561167">
      <w:pPr>
        <w:rPr>
          <w:b/>
          <w:bCs/>
        </w:rPr>
      </w:pPr>
      <w:r w:rsidRPr="00290125">
        <w:rPr>
          <w:b/>
          <w:bCs/>
        </w:rPr>
        <w:t>Accounts Receivable</w:t>
      </w:r>
    </w:p>
    <w:p w14:paraId="7888461B" w14:textId="77777777" w:rsidR="00561167" w:rsidRDefault="00561167" w:rsidP="00561167">
      <w:r w:rsidRPr="00290125">
        <w:t xml:space="preserve">Accounts receivable consists of tuition and fee charges to students and auxiliary enterprise services provided to students, faculty and staff. This also includes amounts due from federal, </w:t>
      </w:r>
      <w:r w:rsidRPr="00290125">
        <w:lastRenderedPageBreak/>
        <w:t xml:space="preserve">state and local governments or private sources </w:t>
      </w:r>
      <w:r>
        <w:t>as allowed under the terms of grants and contract</w:t>
      </w:r>
      <w:r w:rsidRPr="00290125">
        <w:t>s. Accounts receivable are shown net of estimated uncollectible amounts.</w:t>
      </w:r>
    </w:p>
    <w:p w14:paraId="1EF670F2" w14:textId="77777777" w:rsidR="00561167" w:rsidRDefault="00561167" w:rsidP="00561167"/>
    <w:p w14:paraId="6F57C68F" w14:textId="77777777" w:rsidR="00561167" w:rsidRPr="00290125" w:rsidRDefault="00561167" w:rsidP="00561167"/>
    <w:p w14:paraId="15694334" w14:textId="77777777" w:rsidR="00561167" w:rsidRPr="00290125" w:rsidRDefault="00561167" w:rsidP="00561167">
      <w:pPr>
        <w:rPr>
          <w:b/>
          <w:bCs/>
        </w:rPr>
      </w:pPr>
      <w:r w:rsidRPr="00290125">
        <w:rPr>
          <w:b/>
          <w:bCs/>
        </w:rPr>
        <w:t>Inventories</w:t>
      </w:r>
    </w:p>
    <w:p w14:paraId="0243E10F" w14:textId="77777777" w:rsidR="00561167" w:rsidRDefault="00561167" w:rsidP="00561167">
      <w:r w:rsidRPr="00290125">
        <w:t>Inventories, consisting primarily of merchandise for resale</w:t>
      </w:r>
      <w:r>
        <w:t xml:space="preserve"> and course-related supplies in the college bookstore</w:t>
      </w:r>
      <w:r w:rsidRPr="00290125">
        <w:t>, are valued at cost using</w:t>
      </w:r>
      <w:r>
        <w:t xml:space="preserve"> First In, First Out (FIFO) </w:t>
      </w:r>
      <w:r w:rsidRPr="00290125">
        <w:t>method.</w:t>
      </w:r>
    </w:p>
    <w:p w14:paraId="011DB4A6" w14:textId="77777777" w:rsidR="00561167" w:rsidRPr="00290125" w:rsidRDefault="00561167" w:rsidP="00561167"/>
    <w:p w14:paraId="6BA8009F" w14:textId="77777777" w:rsidR="00561167" w:rsidRPr="00290125" w:rsidRDefault="00561167" w:rsidP="00561167">
      <w:pPr>
        <w:rPr>
          <w:b/>
          <w:bCs/>
        </w:rPr>
      </w:pPr>
      <w:r w:rsidRPr="00290125">
        <w:rPr>
          <w:b/>
          <w:bCs/>
        </w:rPr>
        <w:t>Capital Assets</w:t>
      </w:r>
    </w:p>
    <w:p w14:paraId="272CCD11" w14:textId="77777777" w:rsidR="00561167" w:rsidRDefault="00561167" w:rsidP="00561167">
      <w:r>
        <w:t xml:space="preserve">In accordance with state law, capital assets constructed with state funds are owned by the State of Washington.  Property titles are shown accordingly.  However, responsibility for managing the assets rests with the College.  As a result, the assets are included in the financial statements because excluding them would have been misleading.  </w:t>
      </w:r>
    </w:p>
    <w:p w14:paraId="7CC3CED4" w14:textId="77777777" w:rsidR="00561167" w:rsidRDefault="00561167" w:rsidP="00561167"/>
    <w:p w14:paraId="7EE28A0E" w14:textId="77777777" w:rsidR="00561167" w:rsidRPr="00201F8F" w:rsidRDefault="00561167" w:rsidP="00561167">
      <w:r w:rsidRPr="00290125">
        <w:t>Land, buildings and equipment are recorded at cost, or if acquir</w:t>
      </w:r>
      <w:r>
        <w:t>ed by gift, at acquisition value</w:t>
      </w:r>
      <w:r w:rsidRPr="00290125">
        <w:t xml:space="preserve"> at the date of the gift. </w:t>
      </w:r>
      <w:r>
        <w:t xml:space="preserve"> </w:t>
      </w:r>
      <w:r w:rsidRPr="00161741">
        <w:t>GASB 34 guidance concerning preparing initial estimates for historical cost and accumulated depreciation related to infrastructure was followed.</w:t>
      </w:r>
      <w:r>
        <w:t xml:space="preserve">  C</w:t>
      </w:r>
      <w:r w:rsidRPr="00290125">
        <w:t xml:space="preserve">apital additions, replacements and major renovations are capitalized. </w:t>
      </w:r>
      <w:r>
        <w:t xml:space="preserve"> </w:t>
      </w:r>
      <w:r w:rsidRPr="00290125">
        <w:t xml:space="preserve">The value of assets constructed includes all material direct and indirect construction costs. </w:t>
      </w:r>
      <w:r>
        <w:t xml:space="preserve"> </w:t>
      </w:r>
      <w:r w:rsidRPr="00497849">
        <w:t>Routine repai</w:t>
      </w:r>
      <w:r w:rsidRPr="00290125">
        <w:t xml:space="preserve">rs and </w:t>
      </w:r>
      <w:r>
        <w:t xml:space="preserve">maintenance </w:t>
      </w:r>
      <w:r w:rsidRPr="00290125">
        <w:t xml:space="preserve">are charged to operating </w:t>
      </w:r>
      <w:r w:rsidRPr="00464634">
        <w:t>expense</w:t>
      </w:r>
      <w:r w:rsidRPr="00290125">
        <w:t xml:space="preserve"> in the year in which the expense was incurred. In accordance with the state capitalization policy</w:t>
      </w:r>
      <w:r>
        <w:t xml:space="preserve">, </w:t>
      </w:r>
      <w:r w:rsidRPr="003E7C3B">
        <w:t xml:space="preserve">all land, intangible assets and software with a unit cost of $1,000,000 or more, buildings and </w:t>
      </w:r>
      <w:r w:rsidRPr="00201F8F">
        <w:t>improvements with a unit cost of $100,000 or more, library collections with a total cost of $5,</w:t>
      </w:r>
      <w:r w:rsidRPr="00E705E6">
        <w:t xml:space="preserve">000 or more and all other assets with a unit cost of $5,000 or more are capitalized.  </w:t>
      </w:r>
      <w:r w:rsidRPr="00161741">
        <w:t xml:space="preserve">Depreciation is computed using the straight line method over the estimated useful lives of the assets as defined by the State of Washington’s Office of Financial Management.  Useful lives are generally </w:t>
      </w:r>
      <w:r w:rsidRPr="00E705E6">
        <w:t>3 to 7 years for equipment; 15 to 50 years for buildings and 20 to 50 years for infrastructure and land improvements.</w:t>
      </w:r>
      <w:r w:rsidRPr="00A23855">
        <w:t xml:space="preserve"> </w:t>
      </w:r>
    </w:p>
    <w:p w14:paraId="53D742C8" w14:textId="77777777" w:rsidR="00561167" w:rsidRDefault="00561167" w:rsidP="00561167">
      <w:r>
        <w:br/>
      </w:r>
      <w:r w:rsidRPr="00290125">
        <w:t xml:space="preserve">In accordance with GASB Statement 42, the </w:t>
      </w:r>
      <w:r>
        <w:t>college</w:t>
      </w:r>
      <w:r w:rsidRPr="00290125">
        <w:t xml:space="preserve"> reviews assets for impairment whenever events or changes in circumstances have indicated that the carrying amount of its assets might not be recoverable.</w:t>
      </w:r>
      <w:r>
        <w:t xml:space="preserve"> </w:t>
      </w:r>
      <w:r w:rsidRPr="00290125">
        <w:t xml:space="preserve"> Impaired assets are reported at the lower of cost or fair value. </w:t>
      </w:r>
      <w:r>
        <w:t xml:space="preserve"> </w:t>
      </w:r>
      <w:r w:rsidRPr="00290125">
        <w:t>At June 30, 201</w:t>
      </w:r>
      <w:r>
        <w:t>7</w:t>
      </w:r>
      <w:r w:rsidRPr="00290125">
        <w:t xml:space="preserve">, </w:t>
      </w:r>
      <w:r w:rsidRPr="00161741">
        <w:t>no assets had been written down</w:t>
      </w:r>
      <w:r w:rsidRPr="00E705E6">
        <w:t>.</w:t>
      </w:r>
    </w:p>
    <w:p w14:paraId="0429CAB3" w14:textId="77777777" w:rsidR="00561167" w:rsidRDefault="00561167" w:rsidP="00561167">
      <w:pPr>
        <w:rPr>
          <w:highlight w:val="yellow"/>
        </w:rPr>
      </w:pPr>
    </w:p>
    <w:p w14:paraId="5251F8E9" w14:textId="77777777" w:rsidR="00561167" w:rsidRPr="00290125" w:rsidRDefault="00561167" w:rsidP="00561167">
      <w:pPr>
        <w:rPr>
          <w:b/>
          <w:bCs/>
        </w:rPr>
      </w:pPr>
      <w:r>
        <w:rPr>
          <w:b/>
          <w:bCs/>
        </w:rPr>
        <w:t xml:space="preserve">Unearned </w:t>
      </w:r>
      <w:r w:rsidRPr="00290125">
        <w:rPr>
          <w:b/>
          <w:bCs/>
        </w:rPr>
        <w:t>Revenues</w:t>
      </w:r>
    </w:p>
    <w:p w14:paraId="2DC6F237" w14:textId="77777777" w:rsidR="00561167" w:rsidRPr="00625131" w:rsidRDefault="00561167" w:rsidP="00561167">
      <w:r>
        <w:t>Unearned</w:t>
      </w:r>
      <w:r w:rsidRPr="00290125">
        <w:t xml:space="preserve"> revenues occur when funds have been collected prior to the end of the fiscal year but related to the subsequent fiscal year.</w:t>
      </w:r>
      <w:r>
        <w:t xml:space="preserve">  </w:t>
      </w:r>
      <w:r w:rsidRPr="00201F8F">
        <w:t xml:space="preserve">Unearned revenues also include tuition and fees paid with financial aid funds. </w:t>
      </w:r>
      <w:r>
        <w:t>The College has recorded</w:t>
      </w:r>
      <w:r w:rsidRPr="00290125">
        <w:t xml:space="preserve"> </w:t>
      </w:r>
      <w:r w:rsidRPr="00880AA5">
        <w:t xml:space="preserve">summer quarter tuition </w:t>
      </w:r>
      <w:r>
        <w:t xml:space="preserve">and </w:t>
      </w:r>
      <w:r w:rsidRPr="009F65CF">
        <w:t>fees</w:t>
      </w:r>
      <w:r w:rsidRPr="00161741">
        <w:t xml:space="preserve"> as unearned revenues</w:t>
      </w:r>
      <w:r w:rsidRPr="00E705E6">
        <w:t>.</w:t>
      </w:r>
    </w:p>
    <w:p w14:paraId="4446ED37" w14:textId="77777777" w:rsidR="00561167" w:rsidRPr="00290125" w:rsidRDefault="00561167" w:rsidP="00561167"/>
    <w:p w14:paraId="70072A86" w14:textId="77777777" w:rsidR="00561167" w:rsidRPr="00290125" w:rsidRDefault="00561167" w:rsidP="00561167">
      <w:pPr>
        <w:rPr>
          <w:b/>
          <w:bCs/>
        </w:rPr>
      </w:pPr>
      <w:r w:rsidRPr="00290125">
        <w:rPr>
          <w:b/>
          <w:bCs/>
        </w:rPr>
        <w:t>Tax Exemption</w:t>
      </w:r>
    </w:p>
    <w:p w14:paraId="72182D17" w14:textId="7CD3011E" w:rsidR="00561167" w:rsidRDefault="00561167" w:rsidP="00561167">
      <w:r w:rsidRPr="00290125">
        <w:t xml:space="preserve">The </w:t>
      </w:r>
      <w:r>
        <w:t>College</w:t>
      </w:r>
      <w:r w:rsidRPr="00290125">
        <w:t xml:space="preserve"> is a tax-exempt organization under</w:t>
      </w:r>
      <w:r>
        <w:t xml:space="preserve"> the provisions of Section 115 (1</w:t>
      </w:r>
      <w:r w:rsidRPr="00290125">
        <w:t>) of the Internal Revenue Code and is exempt from federal income taxes on related income.</w:t>
      </w:r>
    </w:p>
    <w:p w14:paraId="2486AE6A" w14:textId="77777777" w:rsidR="00561167" w:rsidRPr="002031B9" w:rsidRDefault="00561167" w:rsidP="00561167">
      <w:pPr>
        <w:rPr>
          <w:b/>
          <w:bCs/>
          <w:color w:val="262626"/>
        </w:rPr>
      </w:pPr>
      <w:r w:rsidRPr="002031B9">
        <w:rPr>
          <w:b/>
          <w:bCs/>
          <w:color w:val="262626"/>
        </w:rPr>
        <w:lastRenderedPageBreak/>
        <w:t>Net Pension Liability</w:t>
      </w:r>
    </w:p>
    <w:p w14:paraId="5DDDD114" w14:textId="77777777" w:rsidR="00561167" w:rsidRPr="002031B9" w:rsidRDefault="00561167" w:rsidP="00561167">
      <w:r w:rsidRPr="002031B9">
        <w:t>For purposes of measuring the net pension liability</w:t>
      </w:r>
      <w:r>
        <w:t xml:space="preserve"> in accordance with GASB 68 </w:t>
      </w:r>
      <w:r w:rsidRPr="002031B9">
        <w:t>, deferred outflows of resources and deferred inflows of resources related to pensions, and pension expense, information about the fiduciary net position of the State of Washington Public Employees’ Retirement System (PERS) and the Teachers’ Retirement System (TRS) and additions to/deductions from PERS’s and TRS’s fiduciary net position have been determined on the same basis as they are reported by PERS and TRS. For this purpose, benefit payments (including refunds of employee contributions) are recognized when due and payable in accordance with the benefit terms. Investments are report</w:t>
      </w:r>
      <w:r>
        <w:t>ed</w:t>
      </w:r>
      <w:r w:rsidRPr="002031B9">
        <w:t xml:space="preserve"> at fair value. </w:t>
      </w:r>
      <w:r>
        <w:t xml:space="preserve">In FY17, the College also reports its share of the pension liability for the State Board Retirement Plan in accordance with GASB73 </w:t>
      </w:r>
      <w:r>
        <w:rPr>
          <w:i/>
        </w:rPr>
        <w:t>Accounting and Financial Reporting for Pensions and Related Assets that are not within the Scope of GASB 68 (</w:t>
      </w:r>
      <w:r w:rsidRPr="00895F78">
        <w:rPr>
          <w:i/>
        </w:rPr>
        <w:t>Accounting and Financial Reporting for Pensions</w:t>
      </w:r>
      <w:r>
        <w:rPr>
          <w:i/>
        </w:rPr>
        <w:t xml:space="preserve">). </w:t>
      </w:r>
      <w:r>
        <w:t xml:space="preserve">The reporting requirements are similar to GASB68 but use current fiscal yearend as the measurement date for reporting the pension liabilities. </w:t>
      </w:r>
    </w:p>
    <w:p w14:paraId="21AACB6D" w14:textId="77777777" w:rsidR="00561167" w:rsidRPr="002031B9" w:rsidRDefault="00561167" w:rsidP="00561167">
      <w:pPr>
        <w:rPr>
          <w:b/>
          <w:bCs/>
          <w:color w:val="262626"/>
        </w:rPr>
      </w:pPr>
    </w:p>
    <w:p w14:paraId="304AE24D" w14:textId="77777777" w:rsidR="00561167" w:rsidRPr="002031B9" w:rsidRDefault="00561167" w:rsidP="00561167">
      <w:pPr>
        <w:rPr>
          <w:b/>
          <w:bCs/>
          <w:color w:val="262626"/>
        </w:rPr>
      </w:pPr>
      <w:r w:rsidRPr="002031B9">
        <w:rPr>
          <w:b/>
          <w:bCs/>
          <w:color w:val="262626"/>
        </w:rPr>
        <w:t>Deferred Outflows of Resources and Deferred Inflows of Resources</w:t>
      </w:r>
    </w:p>
    <w:p w14:paraId="43D8654F" w14:textId="58A9EDC3" w:rsidR="00561167" w:rsidRPr="00C96C1C" w:rsidRDefault="00561167" w:rsidP="00561167">
      <w:pPr>
        <w:rPr>
          <w:b/>
          <w:bCs/>
          <w:color w:val="262626"/>
        </w:rPr>
      </w:pPr>
      <w:r w:rsidRPr="002031B9">
        <w:t>Deferred outflows of resources represent consumption of net position that is applicable to a future period. Deferred inflows of resources represent acquisition of net position that is applicable to a future</w:t>
      </w:r>
      <w:r w:rsidR="00BB4C72">
        <w:t xml:space="preserve"> period. Changes in net pension</w:t>
      </w:r>
      <w:r w:rsidRPr="002031B9">
        <w:t xml:space="preserve"> liability not included in pension expense are reported as deferred outflows of resources or deferred inflows of resources. Employer contributions subsequent to the measurement date of the net pension liability are reported as deferred outflows of resources.</w:t>
      </w:r>
    </w:p>
    <w:p w14:paraId="5FB37086" w14:textId="77777777" w:rsidR="00561167" w:rsidRPr="00290125" w:rsidRDefault="00561167" w:rsidP="00561167"/>
    <w:p w14:paraId="01F0A2F2" w14:textId="77777777" w:rsidR="00561167" w:rsidRPr="00C156B5" w:rsidRDefault="00561167" w:rsidP="00561167">
      <w:pPr>
        <w:rPr>
          <w:b/>
          <w:bCs/>
        </w:rPr>
      </w:pPr>
      <w:r w:rsidRPr="00C156B5">
        <w:rPr>
          <w:b/>
          <w:bCs/>
        </w:rPr>
        <w:t>Net Position</w:t>
      </w:r>
    </w:p>
    <w:p w14:paraId="07A7BE5D" w14:textId="77777777" w:rsidR="00561167" w:rsidRPr="00C156B5" w:rsidRDefault="00561167" w:rsidP="00561167">
      <w:r w:rsidRPr="00C156B5">
        <w:t>The College’s net position is classified as follows.</w:t>
      </w:r>
    </w:p>
    <w:p w14:paraId="493E9BDA" w14:textId="77777777" w:rsidR="00561167" w:rsidRPr="00C156B5" w:rsidRDefault="00561167" w:rsidP="00561167">
      <w:pPr>
        <w:numPr>
          <w:ilvl w:val="0"/>
          <w:numId w:val="1"/>
        </w:numPr>
      </w:pPr>
      <w:r>
        <w:rPr>
          <w:i/>
        </w:rPr>
        <w:t xml:space="preserve">Net </w:t>
      </w:r>
      <w:r w:rsidRPr="00C156B5">
        <w:rPr>
          <w:i/>
        </w:rPr>
        <w:t>Invest</w:t>
      </w:r>
      <w:r>
        <w:rPr>
          <w:i/>
        </w:rPr>
        <w:t>ment</w:t>
      </w:r>
      <w:r w:rsidRPr="00C156B5">
        <w:rPr>
          <w:i/>
        </w:rPr>
        <w:t xml:space="preserve"> in Capital Assets</w:t>
      </w:r>
      <w:r w:rsidRPr="00C156B5">
        <w:t xml:space="preserve">. This represents the College’s total investment in capital assets, net of outstanding debt obligations related to those capital assets. </w:t>
      </w:r>
    </w:p>
    <w:p w14:paraId="01EDCF29" w14:textId="77777777" w:rsidR="00561167" w:rsidRPr="00290125" w:rsidRDefault="00561167" w:rsidP="00561167">
      <w:pPr>
        <w:numPr>
          <w:ilvl w:val="0"/>
          <w:numId w:val="1"/>
        </w:numPr>
      </w:pPr>
      <w:r w:rsidRPr="00290125">
        <w:rPr>
          <w:i/>
        </w:rPr>
        <w:t xml:space="preserve">Restricted </w:t>
      </w:r>
      <w:r>
        <w:rPr>
          <w:i/>
        </w:rPr>
        <w:t xml:space="preserve">for </w:t>
      </w:r>
      <w:r w:rsidRPr="00290125">
        <w:rPr>
          <w:i/>
        </w:rPr>
        <w:t>Loans</w:t>
      </w:r>
      <w:r w:rsidRPr="00290125">
        <w:t>. The loan funds are established for the explicit purpose of providing student support as prescribed by statute or granting authority.</w:t>
      </w:r>
      <w:r>
        <w:t xml:space="preserve">  </w:t>
      </w:r>
    </w:p>
    <w:p w14:paraId="1B30FB57" w14:textId="77777777" w:rsidR="00561167" w:rsidRPr="00290125" w:rsidRDefault="00561167" w:rsidP="00561167">
      <w:pPr>
        <w:numPr>
          <w:ilvl w:val="0"/>
          <w:numId w:val="1"/>
        </w:numPr>
      </w:pPr>
      <w:r w:rsidRPr="00290125">
        <w:rPr>
          <w:i/>
        </w:rPr>
        <w:t xml:space="preserve">Restricted </w:t>
      </w:r>
      <w:r>
        <w:rPr>
          <w:i/>
        </w:rPr>
        <w:t>for E</w:t>
      </w:r>
      <w:r w:rsidRPr="00290125">
        <w:rPr>
          <w:i/>
        </w:rPr>
        <w:t>xpendable</w:t>
      </w:r>
      <w:r w:rsidRPr="00290125">
        <w:t xml:space="preserve">. These include resources the </w:t>
      </w:r>
      <w:r>
        <w:t>College</w:t>
      </w:r>
      <w:r w:rsidRPr="00290125">
        <w:t xml:space="preserve"> is legally or contractually obligated to spend in accordance with restrictions imposed by third parties.</w:t>
      </w:r>
    </w:p>
    <w:p w14:paraId="4126E8DD" w14:textId="77777777" w:rsidR="00561167" w:rsidRDefault="00561167" w:rsidP="00561167">
      <w:pPr>
        <w:numPr>
          <w:ilvl w:val="0"/>
          <w:numId w:val="1"/>
        </w:numPr>
      </w:pPr>
      <w:r w:rsidRPr="00290125">
        <w:rPr>
          <w:i/>
        </w:rPr>
        <w:t>Unrestricted</w:t>
      </w:r>
      <w:r w:rsidRPr="00290125">
        <w:t>. These represent resources derived from student tuition and fees, and sales and services of educational departments and auxiliary enterprises.</w:t>
      </w:r>
    </w:p>
    <w:p w14:paraId="0CC02FDE" w14:textId="77777777" w:rsidR="00561167" w:rsidRPr="00290125" w:rsidRDefault="00561167" w:rsidP="00561167"/>
    <w:p w14:paraId="43F9195C" w14:textId="77777777" w:rsidR="00561167" w:rsidRPr="00C1416A" w:rsidRDefault="00561167" w:rsidP="00561167">
      <w:pPr>
        <w:rPr>
          <w:b/>
          <w:bCs/>
        </w:rPr>
      </w:pPr>
      <w:r w:rsidRPr="00C1416A">
        <w:rPr>
          <w:b/>
          <w:bCs/>
        </w:rPr>
        <w:t>Classification of Revenues</w:t>
      </w:r>
      <w:r w:rsidRPr="0033200D">
        <w:rPr>
          <w:b/>
          <w:bCs/>
        </w:rPr>
        <w:t xml:space="preserve"> </w:t>
      </w:r>
      <w:r w:rsidRPr="003A420E">
        <w:rPr>
          <w:b/>
          <w:bCs/>
        </w:rPr>
        <w:t>and Expenses</w:t>
      </w:r>
    </w:p>
    <w:p w14:paraId="464EC3BA" w14:textId="77777777" w:rsidR="00561167" w:rsidRDefault="00561167" w:rsidP="00561167">
      <w:r w:rsidRPr="00C1416A">
        <w:t xml:space="preserve">The </w:t>
      </w:r>
      <w:r>
        <w:t xml:space="preserve">College </w:t>
      </w:r>
      <w:r w:rsidRPr="00C1416A">
        <w:t>has classified its revenues as either operating or non-operating revenues according to the following criteria:</w:t>
      </w:r>
    </w:p>
    <w:p w14:paraId="56B78039" w14:textId="77777777" w:rsidR="00561167" w:rsidRPr="00C1416A" w:rsidRDefault="00561167" w:rsidP="00561167"/>
    <w:p w14:paraId="58BEF9C0" w14:textId="77777777" w:rsidR="00561167" w:rsidRPr="00FF5C1D" w:rsidRDefault="00561167" w:rsidP="00561167">
      <w:pPr>
        <w:rPr>
          <w:i/>
        </w:rPr>
      </w:pPr>
      <w:r w:rsidRPr="00C1416A">
        <w:rPr>
          <w:i/>
        </w:rPr>
        <w:t>Operating Revenues</w:t>
      </w:r>
      <w:r w:rsidRPr="00C1416A">
        <w:t xml:space="preserve">. This includes activities that have the characteristics of exchange transactions such as (1) </w:t>
      </w:r>
      <w:r w:rsidRPr="0088612B">
        <w:t xml:space="preserve">student tuition and fees, net of </w:t>
      </w:r>
      <w:r>
        <w:t xml:space="preserve">waivers and </w:t>
      </w:r>
      <w:r w:rsidRPr="0088612B">
        <w:t>scholarship discounts and allowances, (2)</w:t>
      </w:r>
      <w:r w:rsidRPr="00C1416A">
        <w:t xml:space="preserve"> sales and services of auxiliary enterprises and (3) most federal, state and local </w:t>
      </w:r>
      <w:r w:rsidRPr="0000230B">
        <w:t xml:space="preserve">grants and contracts that primarily support the operational/educational activities of the colleges. </w:t>
      </w:r>
      <w:r w:rsidRPr="0000230B">
        <w:lastRenderedPageBreak/>
        <w:t xml:space="preserve">Examples include a contract with OSPI to offer Running Start.  The college also receives Adult Basic Education grants that support the primary educational mission of the </w:t>
      </w:r>
      <w:commentRangeStart w:id="18"/>
      <w:r w:rsidRPr="0000230B">
        <w:t>college</w:t>
      </w:r>
      <w:commentRangeEnd w:id="18"/>
      <w:r w:rsidRPr="0000230B">
        <w:rPr>
          <w:rStyle w:val="CommentReference"/>
        </w:rPr>
        <w:commentReference w:id="18"/>
      </w:r>
      <w:r>
        <w:rPr>
          <w:i/>
        </w:rPr>
        <w:t xml:space="preserve">.  </w:t>
      </w:r>
    </w:p>
    <w:p w14:paraId="31801BEF" w14:textId="77777777" w:rsidR="00561167" w:rsidRDefault="00561167" w:rsidP="00561167"/>
    <w:p w14:paraId="1ABC69DB" w14:textId="77777777" w:rsidR="00561167" w:rsidRDefault="00561167" w:rsidP="00561167">
      <w:pPr>
        <w:autoSpaceDE w:val="0"/>
        <w:autoSpaceDN w:val="0"/>
        <w:adjustRightInd w:val="0"/>
      </w:pPr>
      <w:r w:rsidRPr="00AC20FE">
        <w:rPr>
          <w:rFonts w:cs="Times New Roman"/>
          <w:i/>
        </w:rPr>
        <w:t>Operating Expenses</w:t>
      </w:r>
      <w:r>
        <w:rPr>
          <w:rFonts w:cs="Times New Roman"/>
          <w:i/>
        </w:rPr>
        <w:t xml:space="preserve">. </w:t>
      </w:r>
      <w:r w:rsidRPr="00A81CFC">
        <w:rPr>
          <w:rFonts w:cs="Times New Roman"/>
        </w:rPr>
        <w:t>Operating expenses include salaries, wages, fringe benefits, utilities, supplies and materials, purchased services, and depreciation.</w:t>
      </w:r>
    </w:p>
    <w:p w14:paraId="4935BBB8" w14:textId="77777777" w:rsidR="00561167" w:rsidRPr="00C1416A" w:rsidRDefault="00561167" w:rsidP="00561167"/>
    <w:p w14:paraId="2D6F4E6C" w14:textId="77777777" w:rsidR="00561167" w:rsidRDefault="00561167" w:rsidP="00561167">
      <w:r w:rsidRPr="00C1416A">
        <w:rPr>
          <w:i/>
        </w:rPr>
        <w:t>Non-operating Revenues</w:t>
      </w:r>
      <w:r w:rsidRPr="00C1416A">
        <w:t>. This includes activities that have the characteristics of non-exchange transactions, such as gifts and contributions, state appropriations</w:t>
      </w:r>
      <w:r>
        <w:t>,</w:t>
      </w:r>
      <w:r w:rsidRPr="00C1416A">
        <w:t xml:space="preserve"> investment income</w:t>
      </w:r>
      <w:r>
        <w:t xml:space="preserve"> and Pell Grants received from the federal government. </w:t>
      </w:r>
      <w:r>
        <w:br/>
      </w:r>
    </w:p>
    <w:p w14:paraId="22205124" w14:textId="77777777" w:rsidR="00561167" w:rsidRPr="00113BFE" w:rsidRDefault="00561167" w:rsidP="00561167">
      <w:r w:rsidRPr="00113BFE">
        <w:rPr>
          <w:i/>
        </w:rPr>
        <w:t xml:space="preserve">Non-operating Expenses. </w:t>
      </w:r>
      <w:r w:rsidRPr="00113BFE">
        <w:t>Non-operating expenses include</w:t>
      </w:r>
      <w:r>
        <w:t xml:space="preserve"> state remittance related to the building fee and the innovation fee, along with</w:t>
      </w:r>
      <w:r w:rsidRPr="00113BFE">
        <w:t xml:space="preserve"> interest incurred on the Certificate of Participation Loan</w:t>
      </w:r>
      <w:r>
        <w:t>s</w:t>
      </w:r>
      <w:r w:rsidRPr="00113BFE">
        <w:t>.</w:t>
      </w:r>
    </w:p>
    <w:p w14:paraId="4CD585A1" w14:textId="77777777" w:rsidR="00561167" w:rsidRDefault="00561167" w:rsidP="00561167"/>
    <w:p w14:paraId="36744A21" w14:textId="77777777" w:rsidR="00561167" w:rsidRPr="00A81CFC" w:rsidRDefault="00561167" w:rsidP="00561167">
      <w:pPr>
        <w:rPr>
          <w:rFonts w:cs="Times New Roman"/>
        </w:rPr>
      </w:pPr>
    </w:p>
    <w:p w14:paraId="264CA942" w14:textId="77777777" w:rsidR="00561167" w:rsidRPr="00A81CFC" w:rsidRDefault="00561167" w:rsidP="00561167">
      <w:pPr>
        <w:autoSpaceDE w:val="0"/>
        <w:autoSpaceDN w:val="0"/>
        <w:adjustRightInd w:val="0"/>
        <w:rPr>
          <w:rFonts w:cs="Times New Roman"/>
          <w:b/>
        </w:rPr>
      </w:pPr>
      <w:r w:rsidRPr="00A81CFC">
        <w:rPr>
          <w:rFonts w:cs="Times New Roman"/>
          <w:b/>
        </w:rPr>
        <w:t>Scholarship Discounts and Allowances</w:t>
      </w:r>
    </w:p>
    <w:p w14:paraId="66061793" w14:textId="77777777" w:rsidR="00561167" w:rsidRPr="00A81CFC" w:rsidRDefault="00561167" w:rsidP="00561167">
      <w:pPr>
        <w:autoSpaceDE w:val="0"/>
        <w:autoSpaceDN w:val="0"/>
        <w:adjustRightInd w:val="0"/>
        <w:rPr>
          <w:rFonts w:cs="Times New Roman"/>
        </w:rPr>
      </w:pPr>
      <w:r w:rsidRPr="00A81CFC">
        <w:rPr>
          <w:rFonts w:cs="Times New Roman"/>
        </w:rPr>
        <w:t>Student tuition and fee revenues, and certain other revenues from students, are reported net of</w:t>
      </w:r>
    </w:p>
    <w:p w14:paraId="12C35100" w14:textId="77777777" w:rsidR="00561167" w:rsidRPr="00A81CFC" w:rsidRDefault="00561167" w:rsidP="00561167">
      <w:pPr>
        <w:autoSpaceDE w:val="0"/>
        <w:autoSpaceDN w:val="0"/>
        <w:adjustRightInd w:val="0"/>
        <w:rPr>
          <w:rFonts w:cs="Times New Roman"/>
        </w:rPr>
      </w:pPr>
      <w:r w:rsidRPr="00A81CFC">
        <w:rPr>
          <w:rFonts w:cs="Times New Roman"/>
        </w:rPr>
        <w:t>scholarship discounts and allowances in the Statements of Revenues, Expenses and Changes in</w:t>
      </w:r>
    </w:p>
    <w:p w14:paraId="6A07245F" w14:textId="77777777" w:rsidR="00561167" w:rsidRPr="00C96C1C" w:rsidRDefault="00561167" w:rsidP="00561167">
      <w:r w:rsidRPr="00A81CFC">
        <w:rPr>
          <w:rFonts w:cs="Times New Roman"/>
        </w:rPr>
        <w:t>Net Position.  Scholarship discounts and allowances are the difference between the stated charge for</w:t>
      </w:r>
      <w:r>
        <w:rPr>
          <w:rFonts w:cs="Times New Roman"/>
        </w:rPr>
        <w:t xml:space="preserve"> </w:t>
      </w:r>
      <w:r w:rsidRPr="00A81CFC">
        <w:rPr>
          <w:rFonts w:cs="Times New Roman"/>
        </w:rPr>
        <w:t>goods and services provided by the College, and the amount that is paid by students and/or third parties</w:t>
      </w:r>
      <w:r>
        <w:rPr>
          <w:rFonts w:cs="Times New Roman"/>
        </w:rPr>
        <w:t xml:space="preserve"> </w:t>
      </w:r>
      <w:r w:rsidRPr="00A81CFC">
        <w:rPr>
          <w:rFonts w:cs="Times New Roman"/>
        </w:rPr>
        <w:t>making payments on the students’ behalf.  Certain governmental grants, such as Pell grants, and other</w:t>
      </w:r>
      <w:r>
        <w:rPr>
          <w:rFonts w:cs="Times New Roman"/>
        </w:rPr>
        <w:t xml:space="preserve"> </w:t>
      </w:r>
      <w:r w:rsidRPr="00A81CFC">
        <w:rPr>
          <w:rFonts w:cs="Times New Roman"/>
        </w:rPr>
        <w:t>Federal, State or non-governmental programs are recorded as either operating or non-operating</w:t>
      </w:r>
      <w:r>
        <w:rPr>
          <w:rFonts w:cs="Times New Roman"/>
        </w:rPr>
        <w:t xml:space="preserve"> </w:t>
      </w:r>
      <w:r w:rsidRPr="00A81CFC">
        <w:rPr>
          <w:rFonts w:cs="Times New Roman"/>
        </w:rPr>
        <w:t>revenues in the College’s financial statements.  To the extent that revenues from such programs are</w:t>
      </w:r>
      <w:r>
        <w:rPr>
          <w:rFonts w:cs="Times New Roman"/>
        </w:rPr>
        <w:t xml:space="preserve"> </w:t>
      </w:r>
      <w:r w:rsidRPr="00A81CFC">
        <w:rPr>
          <w:rFonts w:cs="Times New Roman"/>
        </w:rPr>
        <w:t>used to satisfy tuition and fees and other student charges, the College has recorded a scholarship</w:t>
      </w:r>
      <w:r>
        <w:rPr>
          <w:rFonts w:cs="Times New Roman"/>
        </w:rPr>
        <w:t xml:space="preserve"> </w:t>
      </w:r>
      <w:r w:rsidRPr="00A81CFC">
        <w:rPr>
          <w:rFonts w:cs="Times New Roman"/>
        </w:rPr>
        <w:t xml:space="preserve">discount and allowance. </w:t>
      </w:r>
      <w:r w:rsidRPr="00C1416A">
        <w:t>Discounts and allowances f</w:t>
      </w:r>
      <w:r>
        <w:t xml:space="preserve">or the year ending June 30, 2017 </w:t>
      </w:r>
      <w:r w:rsidRPr="006E1C7B">
        <w:t>are $3,880,839.</w:t>
      </w:r>
    </w:p>
    <w:p w14:paraId="2F0B3345" w14:textId="77777777" w:rsidR="00561167" w:rsidRPr="002F498A" w:rsidRDefault="00561167" w:rsidP="00561167">
      <w:pPr>
        <w:autoSpaceDE w:val="0"/>
        <w:autoSpaceDN w:val="0"/>
        <w:adjustRightInd w:val="0"/>
        <w:rPr>
          <w:rFonts w:cs="Times New Roman"/>
          <w:sz w:val="20"/>
          <w:szCs w:val="20"/>
        </w:rPr>
      </w:pPr>
    </w:p>
    <w:p w14:paraId="5BBAA0FA" w14:textId="77777777" w:rsidR="00561167" w:rsidRPr="002F498A" w:rsidRDefault="00561167" w:rsidP="00561167">
      <w:pPr>
        <w:autoSpaceDE w:val="0"/>
        <w:autoSpaceDN w:val="0"/>
        <w:adjustRightInd w:val="0"/>
        <w:rPr>
          <w:rFonts w:cs="Times New Roman"/>
          <w:b/>
        </w:rPr>
      </w:pPr>
      <w:r w:rsidRPr="002F498A">
        <w:rPr>
          <w:rFonts w:cs="Times New Roman"/>
          <w:b/>
        </w:rPr>
        <w:t>State Appropriations</w:t>
      </w:r>
    </w:p>
    <w:p w14:paraId="21BE7887" w14:textId="77777777" w:rsidR="00561167" w:rsidRDefault="00561167" w:rsidP="00561167">
      <w:pPr>
        <w:autoSpaceDE w:val="0"/>
        <w:autoSpaceDN w:val="0"/>
        <w:adjustRightInd w:val="0"/>
        <w:rPr>
          <w:rFonts w:cs="Times New Roman"/>
        </w:rPr>
      </w:pPr>
      <w:r w:rsidRPr="00A81CFC">
        <w:rPr>
          <w:rFonts w:cs="Times New Roman"/>
        </w:rPr>
        <w:t xml:space="preserve">The state of Washington appropriates funds to the College on both an annual and biennial basis. These revenues are reported as non-operating revenues on the Statements of Revenues, Expenses, and Changes in Net </w:t>
      </w:r>
      <w:r>
        <w:rPr>
          <w:rFonts w:cs="Times New Roman"/>
        </w:rPr>
        <w:t>Position</w:t>
      </w:r>
      <w:r w:rsidRPr="00A81CFC">
        <w:rPr>
          <w:rFonts w:cs="Times New Roman"/>
        </w:rPr>
        <w:t xml:space="preserve">, and recognized as such when the related expenses are incurred.  </w:t>
      </w:r>
    </w:p>
    <w:p w14:paraId="2322A77D" w14:textId="77777777" w:rsidR="00561167" w:rsidRDefault="00561167" w:rsidP="00561167">
      <w:pPr>
        <w:autoSpaceDE w:val="0"/>
        <w:autoSpaceDN w:val="0"/>
        <w:adjustRightInd w:val="0"/>
        <w:rPr>
          <w:rFonts w:cs="Times New Roman"/>
        </w:rPr>
      </w:pPr>
    </w:p>
    <w:p w14:paraId="03803517" w14:textId="77777777" w:rsidR="00561167" w:rsidRDefault="00561167" w:rsidP="00561167">
      <w:pPr>
        <w:autoSpaceDE w:val="0"/>
        <w:autoSpaceDN w:val="0"/>
        <w:adjustRightInd w:val="0"/>
        <w:rPr>
          <w:rFonts w:cs="Times New Roman"/>
          <w:b/>
        </w:rPr>
      </w:pPr>
      <w:r>
        <w:rPr>
          <w:rFonts w:cs="Times New Roman"/>
          <w:b/>
        </w:rPr>
        <w:t>Building and Innovation Fee Remittance</w:t>
      </w:r>
    </w:p>
    <w:p w14:paraId="68815C30" w14:textId="77777777" w:rsidR="00561167" w:rsidRPr="00F44C4F" w:rsidRDefault="00561167" w:rsidP="00561167">
      <w:pPr>
        <w:autoSpaceDE w:val="0"/>
        <w:autoSpaceDN w:val="0"/>
        <w:adjustRightInd w:val="0"/>
        <w:rPr>
          <w:rFonts w:cs="Times New Roman"/>
        </w:rPr>
      </w:pPr>
      <w:r>
        <w:rPr>
          <w:rFonts w:cs="Times New Roman"/>
        </w:rPr>
        <w:t>Tuition collected includes amounts remitted to the Washington State Treasurer’s office to be held and appropriated in future years. The Building Fee portion of tuition charged to students is an amount established by the Legislature is subject to change annually. The fee provides funding for capital construction and projects on a system wide basis using a competitive biennial allocation process. The Building Fee is remitted on the 35</w:t>
      </w:r>
      <w:r w:rsidRPr="00DB463B">
        <w:rPr>
          <w:rFonts w:cs="Times New Roman"/>
          <w:vertAlign w:val="superscript"/>
        </w:rPr>
        <w:t>th</w:t>
      </w:r>
      <w:r>
        <w:rPr>
          <w:rFonts w:cs="Times New Roman"/>
        </w:rPr>
        <w:t xml:space="preserve"> day of each quarter. The Innovation Fee was established in order to fund the State Board of Community and Technical College’s Strategic Technology Plan. The use of the fund is to implement new ERP software across the entire system. On a monthly basis, the College’s remits the portion of tuition collected for the Innovation Fee to the State Treasurer for allocation to SBCTC. These remittances are non-</w:t>
      </w:r>
      <w:r>
        <w:rPr>
          <w:rFonts w:cs="Times New Roman"/>
        </w:rPr>
        <w:lastRenderedPageBreak/>
        <w:t>exchange transactions reported as an expense in the non-operating revenues and expenses section of the statement of revenues, expenses and changes in net position.</w:t>
      </w:r>
    </w:p>
    <w:p w14:paraId="45BA9D6A" w14:textId="77777777" w:rsidR="00561167" w:rsidRDefault="00561167" w:rsidP="00561167">
      <w:pPr>
        <w:autoSpaceDE w:val="0"/>
        <w:autoSpaceDN w:val="0"/>
        <w:adjustRightInd w:val="0"/>
        <w:rPr>
          <w:rFonts w:cs="Times New Roman"/>
        </w:rPr>
      </w:pPr>
    </w:p>
    <w:p w14:paraId="2335CEA4" w14:textId="77777777" w:rsidR="00561167" w:rsidRDefault="00561167" w:rsidP="00561167">
      <w:pPr>
        <w:autoSpaceDE w:val="0"/>
        <w:autoSpaceDN w:val="0"/>
        <w:adjustRightInd w:val="0"/>
        <w:rPr>
          <w:rFonts w:cs="Times New Roman"/>
        </w:rPr>
      </w:pPr>
    </w:p>
    <w:p w14:paraId="624528F7" w14:textId="77777777" w:rsidR="00561167" w:rsidRPr="002C1B18" w:rsidRDefault="00561167" w:rsidP="00561167">
      <w:pPr>
        <w:rPr>
          <w:b/>
          <w:bCs/>
        </w:rPr>
      </w:pPr>
      <w:r>
        <w:rPr>
          <w:b/>
          <w:bCs/>
        </w:rPr>
        <w:t xml:space="preserve">2. </w:t>
      </w:r>
      <w:r w:rsidRPr="002035EC">
        <w:rPr>
          <w:b/>
          <w:bCs/>
        </w:rPr>
        <w:t xml:space="preserve">Accounting and Reporting Changes </w:t>
      </w:r>
    </w:p>
    <w:p w14:paraId="12417F33" w14:textId="77777777" w:rsidR="00561167" w:rsidRDefault="00561167" w:rsidP="00561167">
      <w:pPr>
        <w:pStyle w:val="NormalWeb"/>
        <w:spacing w:before="0" w:beforeAutospacing="0" w:after="0" w:afterAutospacing="0"/>
        <w:rPr>
          <w:color w:val="000000"/>
        </w:rPr>
      </w:pPr>
      <w:r w:rsidRPr="009C5695">
        <w:rPr>
          <w:color w:val="000000"/>
        </w:rPr>
        <w:t xml:space="preserve">In June 2015, the GASB issued Statement </w:t>
      </w:r>
      <w:r w:rsidRPr="00B64FE7">
        <w:rPr>
          <w:color w:val="000000"/>
        </w:rPr>
        <w:t xml:space="preserve">No. </w:t>
      </w:r>
      <w:r>
        <w:rPr>
          <w:color w:val="000000"/>
        </w:rPr>
        <w:t>73</w:t>
      </w:r>
      <w:r w:rsidRPr="00B64FE7">
        <w:rPr>
          <w:color w:val="000000"/>
        </w:rPr>
        <w:t xml:space="preserve">, </w:t>
      </w:r>
      <w:r w:rsidRPr="007E0E92">
        <w:rPr>
          <w:i/>
          <w:color w:val="000000"/>
        </w:rPr>
        <w:t>Accounting and Financial Reporting for Pensions and Related Assets That Are Not within the Scope of GASB Statement 68, and Amendments to certain Provisions of GASB Statements 67 and 68</w:t>
      </w:r>
      <w:r w:rsidRPr="00541663">
        <w:rPr>
          <w:color w:val="000000"/>
        </w:rPr>
        <w:t xml:space="preserve">. </w:t>
      </w:r>
      <w:r w:rsidRPr="009C5695">
        <w:rPr>
          <w:color w:val="000000"/>
        </w:rPr>
        <w:t xml:space="preserve">This Statement is intended to improve financial reporting of governments whose employees are provided with pensions that are not within the scope of Statement No. 68, improve the usefulness of information associated with governments that hold assets accumulated for purposes of providing defined benefit pensions not within the scope of Statement No. 68, and to clarify the application of certain provisions of Statements No. 67 and 68. In addition, it establishes requirements for defined contribution plans that are not within the scope of Statement 68. GASB 73 is effective for fiscal years beginning after June 15, 2016. The College has implemented this pronouncement during the 2017 fiscal year. </w:t>
      </w:r>
      <w:r w:rsidRPr="0097638D">
        <w:rPr>
          <w:color w:val="000000"/>
        </w:rPr>
        <w:t xml:space="preserve">The </w:t>
      </w:r>
      <w:r>
        <w:rPr>
          <w:color w:val="000000"/>
        </w:rPr>
        <w:t>College</w:t>
      </w:r>
      <w:r w:rsidRPr="0097638D">
        <w:rPr>
          <w:color w:val="000000"/>
        </w:rPr>
        <w:t xml:space="preserve"> recorded a beginning balance adjustment to long-term </w:t>
      </w:r>
      <w:r w:rsidRPr="00C93D52">
        <w:rPr>
          <w:color w:val="000000"/>
        </w:rPr>
        <w:t xml:space="preserve">obligations </w:t>
      </w:r>
      <w:r w:rsidRPr="00766BD7">
        <w:rPr>
          <w:color w:val="000000"/>
        </w:rPr>
        <w:t>of $3,302,493</w:t>
      </w:r>
      <w:r w:rsidRPr="0097638D">
        <w:rPr>
          <w:color w:val="000000"/>
        </w:rPr>
        <w:t xml:space="preserve"> as a result of the implementation of GASB Statement No. 73.</w:t>
      </w:r>
    </w:p>
    <w:p w14:paraId="75B9777A" w14:textId="77777777" w:rsidR="00561167" w:rsidRDefault="00561167" w:rsidP="00561167">
      <w:pPr>
        <w:pStyle w:val="NormalWeb"/>
        <w:spacing w:before="0" w:beforeAutospacing="0" w:after="0" w:afterAutospacing="0"/>
        <w:rPr>
          <w:color w:val="000000"/>
        </w:rPr>
      </w:pPr>
    </w:p>
    <w:p w14:paraId="67298D1D" w14:textId="77777777" w:rsidR="00561167" w:rsidRDefault="00561167" w:rsidP="00561167">
      <w:pPr>
        <w:rPr>
          <w:b/>
          <w:color w:val="000000"/>
        </w:rPr>
      </w:pPr>
    </w:p>
    <w:p w14:paraId="40176CE0" w14:textId="77777777" w:rsidR="00561167" w:rsidRPr="00BC021A" w:rsidRDefault="00561167" w:rsidP="00561167">
      <w:pPr>
        <w:rPr>
          <w:b/>
          <w:color w:val="000000"/>
        </w:rPr>
      </w:pPr>
      <w:r>
        <w:rPr>
          <w:b/>
          <w:color w:val="000000"/>
        </w:rPr>
        <w:t>Accounting Standard Impacting the Future</w:t>
      </w:r>
    </w:p>
    <w:p w14:paraId="5DB890F5" w14:textId="77777777" w:rsidR="00561167" w:rsidRPr="00BC021A" w:rsidRDefault="00561167" w:rsidP="00561167">
      <w:pPr>
        <w:rPr>
          <w:color w:val="000000"/>
        </w:rPr>
      </w:pPr>
      <w:r>
        <w:rPr>
          <w:color w:val="000000"/>
        </w:rPr>
        <w:t xml:space="preserve">In June 2015, the GASB issued Statement No. 75, </w:t>
      </w:r>
      <w:r>
        <w:rPr>
          <w:i/>
          <w:color w:val="000000"/>
        </w:rPr>
        <w:t>Accounting and Financial Reporting for Postemployment Benefits Other Than Pensions (OPEB),</w:t>
      </w:r>
      <w:r>
        <w:rPr>
          <w:color w:val="000000"/>
        </w:rPr>
        <w:t xml:space="preserve"> which will be in effect for the fiscal year ending June 30, 2018. This Statement establishes standards of accounting and financial reporting for defined benefit OPEB and defined contribution OPEB that are provided to the employees of state and local governmental employer through plans that are administered through trusts or equivalent arrangements. This Statement also establishes standards of accounting and financial reporting for OPEB plans that are not administered through trusts or equivalent arrangements. The College’s participation in OPEB is described in Note 18, and does not currently impact the College’s financial statements. As a result of implementing this Statement, the College will be required to recognize its proportionate share of the state’s actuarially determine OPEB liability, net of any assets segregated and restricted in a qualified trust, together with any associated deferred inflows and deferred outflows of resources, benefit expense related to the plan, and to restate net position for all periods presented. This Statement will have a significant impact on the College’s financial statements.</w:t>
      </w:r>
    </w:p>
    <w:p w14:paraId="0C9E0111" w14:textId="77777777" w:rsidR="00561167" w:rsidRPr="002035EC" w:rsidRDefault="00561167" w:rsidP="00561167">
      <w:pPr>
        <w:pStyle w:val="NormalWeb"/>
        <w:spacing w:before="0" w:beforeAutospacing="0" w:after="0" w:afterAutospacing="0"/>
        <w:rPr>
          <w:color w:val="000000"/>
        </w:rPr>
      </w:pPr>
    </w:p>
    <w:p w14:paraId="249B9888" w14:textId="77777777" w:rsidR="00561167" w:rsidRDefault="00561167" w:rsidP="00561167">
      <w:pPr>
        <w:autoSpaceDE w:val="0"/>
        <w:autoSpaceDN w:val="0"/>
        <w:adjustRightInd w:val="0"/>
        <w:rPr>
          <w:rFonts w:cs="Times New Roman"/>
        </w:rPr>
      </w:pPr>
    </w:p>
    <w:p w14:paraId="00376B75" w14:textId="7766A5F7" w:rsidR="00561167" w:rsidRDefault="00561167" w:rsidP="00561167">
      <w:pPr>
        <w:rPr>
          <w:b/>
        </w:rPr>
      </w:pPr>
      <w:r>
        <w:rPr>
          <w:b/>
        </w:rPr>
        <w:t>3</w:t>
      </w:r>
      <w:r w:rsidRPr="00BD71EF">
        <w:rPr>
          <w:b/>
        </w:rPr>
        <w:t>. Cash</w:t>
      </w:r>
      <w:r w:rsidR="001B3BCC">
        <w:rPr>
          <w:b/>
        </w:rPr>
        <w:t>, Cash Equivalents</w:t>
      </w:r>
      <w:r w:rsidRPr="00BD71EF">
        <w:rPr>
          <w:b/>
        </w:rPr>
        <w:t xml:space="preserve"> and Investments</w:t>
      </w:r>
    </w:p>
    <w:p w14:paraId="37F9EE91" w14:textId="77777777" w:rsidR="001B3BCC" w:rsidRDefault="001B3BCC" w:rsidP="00561167">
      <w:pPr>
        <w:rPr>
          <w:b/>
        </w:rPr>
      </w:pPr>
    </w:p>
    <w:p w14:paraId="0A41F1A4" w14:textId="1EDFE690" w:rsidR="001B3BCC" w:rsidRPr="001B3BCC" w:rsidRDefault="001B3BCC" w:rsidP="00561167">
      <w:pPr>
        <w:rPr>
          <w:b/>
          <w:u w:val="single"/>
        </w:rPr>
      </w:pPr>
      <w:r>
        <w:rPr>
          <w:b/>
          <w:u w:val="single"/>
        </w:rPr>
        <w:t>Cash and Cash Equivalents</w:t>
      </w:r>
    </w:p>
    <w:p w14:paraId="69221702" w14:textId="77777777" w:rsidR="00561167" w:rsidRDefault="00561167" w:rsidP="00561167">
      <w:pPr>
        <w:autoSpaceDE w:val="0"/>
        <w:autoSpaceDN w:val="0"/>
        <w:adjustRightInd w:val="0"/>
      </w:pPr>
      <w:r w:rsidRPr="006C4437">
        <w:rPr>
          <w:rFonts w:cs="Times New Roman"/>
        </w:rPr>
        <w:t>Cash and cash equivalents include bank demand</w:t>
      </w:r>
      <w:r>
        <w:rPr>
          <w:rFonts w:cs="Times New Roman"/>
        </w:rPr>
        <w:t xml:space="preserve"> </w:t>
      </w:r>
      <w:r w:rsidRPr="006C4437">
        <w:rPr>
          <w:rFonts w:cs="Times New Roman"/>
        </w:rPr>
        <w:t>deposits</w:t>
      </w:r>
      <w:r>
        <w:rPr>
          <w:rFonts w:cs="Times New Roman"/>
        </w:rPr>
        <w:t xml:space="preserve">, </w:t>
      </w:r>
      <w:r w:rsidRPr="006C4437">
        <w:rPr>
          <w:rFonts w:cs="Times New Roman"/>
        </w:rPr>
        <w:t>petty cash</w:t>
      </w:r>
      <w:r>
        <w:rPr>
          <w:rFonts w:cs="Times New Roman"/>
        </w:rPr>
        <w:t xml:space="preserve"> </w:t>
      </w:r>
      <w:r w:rsidRPr="006C4437">
        <w:rPr>
          <w:rFonts w:cs="Times New Roman"/>
        </w:rPr>
        <w:t>held at the College and unit shares in the Local</w:t>
      </w:r>
      <w:r>
        <w:rPr>
          <w:rFonts w:cs="Times New Roman"/>
        </w:rPr>
        <w:t xml:space="preserve"> </w:t>
      </w:r>
      <w:r w:rsidRPr="006C4437">
        <w:rPr>
          <w:rFonts w:cs="Times New Roman"/>
        </w:rPr>
        <w:t>Government Investment Pool</w:t>
      </w:r>
      <w:r>
        <w:rPr>
          <w:rFonts w:cs="Times New Roman"/>
        </w:rPr>
        <w:t xml:space="preserve"> (LGIP)</w:t>
      </w:r>
      <w:r w:rsidRPr="006C4437">
        <w:rPr>
          <w:rFonts w:cs="Times New Roman"/>
        </w:rPr>
        <w:t xml:space="preserve">. </w:t>
      </w:r>
      <w:r>
        <w:rPr>
          <w:rFonts w:cs="Times New Roman"/>
        </w:rPr>
        <w:t xml:space="preserve"> </w:t>
      </w:r>
      <w:r>
        <w:t>The LGIP is comparable to a Rule 2a-7 money market fund recognized by the Securities and Exchange Commission (17 CFR 270.2a-</w:t>
      </w:r>
      <w:r>
        <w:lastRenderedPageBreak/>
        <w:t xml:space="preserve">7).  Rule 2a-7 funds are limited to high quality obligations with limited maximum and average maturities, the effect of which is to minimize both the market and credit risk.  The LGIP is an unrated investment pool.  </w:t>
      </w:r>
    </w:p>
    <w:p w14:paraId="5BD987B6" w14:textId="77777777" w:rsidR="00561167" w:rsidRDefault="00561167" w:rsidP="00561167">
      <w:pPr>
        <w:autoSpaceDE w:val="0"/>
        <w:autoSpaceDN w:val="0"/>
        <w:adjustRightInd w:val="0"/>
      </w:pPr>
    </w:p>
    <w:p w14:paraId="43382D21" w14:textId="77777777" w:rsidR="00561167" w:rsidRDefault="00561167" w:rsidP="00561167">
      <w:pPr>
        <w:autoSpaceDE w:val="0"/>
        <w:autoSpaceDN w:val="0"/>
        <w:adjustRightInd w:val="0"/>
      </w:pPr>
      <w:r>
        <w:t xml:space="preserve">The LGIP portfolio is invested in a manner that meets the requirements set forth by tl1e Governmental Accounting Standards Board for the maturity, quality, diversification and liquidity for external investment pools that wish to measure all of its investments at amortized costs. The LGIP transacts with its participants at a stable net asset value per share of one dollar, which results in the amortized cost reported equaling the number of shares in the LGIP. </w:t>
      </w:r>
    </w:p>
    <w:p w14:paraId="5D2826ED" w14:textId="77777777" w:rsidR="00561167" w:rsidRDefault="00561167" w:rsidP="00561167">
      <w:pPr>
        <w:autoSpaceDE w:val="0"/>
        <w:autoSpaceDN w:val="0"/>
        <w:adjustRightInd w:val="0"/>
      </w:pPr>
    </w:p>
    <w:p w14:paraId="686A2710" w14:textId="77777777" w:rsidR="00561167" w:rsidRDefault="00561167" w:rsidP="00561167">
      <w:pPr>
        <w:autoSpaceDE w:val="0"/>
        <w:autoSpaceDN w:val="0"/>
        <w:adjustRightInd w:val="0"/>
      </w:pPr>
      <w:r>
        <w:t xml:space="preserve">The Office of the State Treasurer prepares a stand-alone LGIP financial report. A copy of the report is available from the OST, PO Box 40200, Olympia, Washington  98504-0200, or online at: http://www.tre.wa.gov/lgip/cafr/LgipCafr.shtml. In addition, more information is available regarding the LGIP in the Washington State Consolidated Annual Financial report, which can be found online at http://www/ofm/wa/gov/cafr/. </w:t>
      </w:r>
    </w:p>
    <w:p w14:paraId="4B699044" w14:textId="77777777" w:rsidR="00561167" w:rsidRDefault="00561167" w:rsidP="00561167">
      <w:pPr>
        <w:autoSpaceDE w:val="0"/>
        <w:autoSpaceDN w:val="0"/>
        <w:adjustRightInd w:val="0"/>
      </w:pPr>
    </w:p>
    <w:p w14:paraId="2BD0596B" w14:textId="77777777" w:rsidR="00561167" w:rsidRDefault="00561167" w:rsidP="00561167">
      <w:pPr>
        <w:autoSpaceDE w:val="0"/>
        <w:autoSpaceDN w:val="0"/>
        <w:adjustRightInd w:val="0"/>
      </w:pPr>
      <w:r>
        <w:t>The College can contribute or withdraw funds in any amount from the LGIP on a daily basis. The LGIP does not impose liquidity fees or redemption gates on participant withdrawals. The College adjusts its LGIP investment amounts monthly to reflect interest earnings as reported from the Office of the State Treasurer.</w:t>
      </w:r>
    </w:p>
    <w:p w14:paraId="73033A1B" w14:textId="77777777" w:rsidR="00561167" w:rsidRDefault="00561167" w:rsidP="00561167"/>
    <w:p w14:paraId="5DD90EA6" w14:textId="77777777" w:rsidR="00561167" w:rsidRDefault="00561167" w:rsidP="00561167">
      <w:r w:rsidRPr="00C13603">
        <w:t>As of June 30, 201</w:t>
      </w:r>
      <w:r>
        <w:t>7</w:t>
      </w:r>
      <w:r w:rsidRPr="00C13603">
        <w:t xml:space="preserve">, the carrying amount of the </w:t>
      </w:r>
      <w:r>
        <w:t>College</w:t>
      </w:r>
      <w:r w:rsidRPr="00C13603">
        <w:t xml:space="preserve">’s cash and </w:t>
      </w:r>
      <w:r>
        <w:t xml:space="preserve">equivalents </w:t>
      </w:r>
      <w:r w:rsidRPr="006E1C7B">
        <w:t>was $17,664,005</w:t>
      </w:r>
      <w:r>
        <w:t xml:space="preserve"> </w:t>
      </w:r>
      <w:r w:rsidRPr="00C13603">
        <w:t>as represented in the table below.</w:t>
      </w:r>
    </w:p>
    <w:p w14:paraId="6B13E56C" w14:textId="77777777" w:rsidR="00561167" w:rsidRDefault="00561167" w:rsidP="00561167"/>
    <w:p w14:paraId="75554862" w14:textId="77777777" w:rsidR="00561167" w:rsidRDefault="00561167" w:rsidP="00561167"/>
    <w:bookmarkStart w:id="19" w:name="_MON_1445080400"/>
    <w:bookmarkEnd w:id="19"/>
    <w:p w14:paraId="63C6C405" w14:textId="49BA5446" w:rsidR="00561167" w:rsidRDefault="00DE16A9" w:rsidP="002F0078">
      <w:pPr>
        <w:jc w:val="center"/>
      </w:pPr>
      <w:r>
        <w:object w:dxaOrig="6901" w:dyaOrig="1515" w14:anchorId="441ABB4E">
          <v:shape id="_x0000_i1032" type="#_x0000_t75" style="width:345.75pt;height:99.75pt" o:ole="">
            <v:imagedata r:id="rId37" o:title=""/>
          </v:shape>
          <o:OLEObject Type="Embed" ProgID="Excel.Sheet.12" ShapeID="_x0000_i1032" DrawAspect="Content" ObjectID="_1577870056" r:id="rId38"/>
        </w:object>
      </w:r>
    </w:p>
    <w:p w14:paraId="5B5AEDB9" w14:textId="77777777" w:rsidR="00561167" w:rsidRPr="00443542" w:rsidRDefault="00561167" w:rsidP="00561167">
      <w:pPr>
        <w:rPr>
          <w:sz w:val="16"/>
          <w:szCs w:val="16"/>
        </w:rPr>
      </w:pPr>
    </w:p>
    <w:p w14:paraId="1A91587F" w14:textId="77777777" w:rsidR="001B3BCC" w:rsidRDefault="001B3BCC" w:rsidP="001B3BCC">
      <w:pPr>
        <w:rPr>
          <w:b/>
          <w:bCs/>
        </w:rPr>
      </w:pPr>
    </w:p>
    <w:p w14:paraId="4A620BE9" w14:textId="77777777" w:rsidR="001B3BCC" w:rsidRPr="00C13603" w:rsidRDefault="001B3BCC" w:rsidP="001B3BCC">
      <w:pPr>
        <w:rPr>
          <w:b/>
          <w:bCs/>
        </w:rPr>
      </w:pPr>
      <w:r w:rsidRPr="00C13603">
        <w:rPr>
          <w:b/>
          <w:bCs/>
        </w:rPr>
        <w:t>Custodial Credit Risks—Deposits</w:t>
      </w:r>
    </w:p>
    <w:p w14:paraId="2E6FD159" w14:textId="77777777" w:rsidR="001B3BCC" w:rsidRDefault="001B3BCC" w:rsidP="001B3BCC">
      <w:r w:rsidRPr="00C13603">
        <w:t xml:space="preserve">Custodial credit risk for bank demand deposits is the risk that in the event of a bank failure, the </w:t>
      </w:r>
      <w:r>
        <w:t>College</w:t>
      </w:r>
      <w:r w:rsidRPr="00C13603">
        <w:t xml:space="preserve">’s deposits may not be returned to it. The majority of the </w:t>
      </w:r>
      <w:r>
        <w:t>College</w:t>
      </w:r>
      <w:r w:rsidRPr="00C13603">
        <w:t xml:space="preserve">’s demand deposits are with </w:t>
      </w:r>
      <w:r w:rsidRPr="009F65CF">
        <w:t xml:space="preserve">the </w:t>
      </w:r>
      <w:r w:rsidRPr="00161741">
        <w:t>US Bank.</w:t>
      </w:r>
      <w:r>
        <w:t xml:space="preserve">  </w:t>
      </w:r>
      <w:r w:rsidRPr="00C13603">
        <w:t>All cash</w:t>
      </w:r>
      <w:r>
        <w:t xml:space="preserve"> and equivalents</w:t>
      </w:r>
      <w:r w:rsidRPr="00C13603">
        <w:t xml:space="preserve">, except for change funds and petty cash held by the </w:t>
      </w:r>
      <w:r>
        <w:t>College</w:t>
      </w:r>
      <w:r w:rsidRPr="00C13603">
        <w:t xml:space="preserve">, </w:t>
      </w:r>
      <w:r>
        <w:t>are</w:t>
      </w:r>
      <w:r w:rsidRPr="00C13603">
        <w:t xml:space="preserve"> insured by the Federal Deposit Insurance Corporation (FDIC) or by collateral held by the Washington Public Deposi</w:t>
      </w:r>
      <w:r>
        <w:t>t Protection Commission (PDPC).</w:t>
      </w:r>
    </w:p>
    <w:p w14:paraId="4A5EC05A" w14:textId="77777777" w:rsidR="00561167" w:rsidRDefault="00561167" w:rsidP="00561167">
      <w:pPr>
        <w:autoSpaceDE w:val="0"/>
        <w:autoSpaceDN w:val="0"/>
        <w:adjustRightInd w:val="0"/>
        <w:rPr>
          <w:rFonts w:cs="Times New Roman"/>
        </w:rPr>
      </w:pPr>
    </w:p>
    <w:p w14:paraId="0E9CEED1" w14:textId="77777777" w:rsidR="001B3BCC" w:rsidRDefault="001B3BCC" w:rsidP="00561167">
      <w:pPr>
        <w:autoSpaceDE w:val="0"/>
        <w:autoSpaceDN w:val="0"/>
        <w:adjustRightInd w:val="0"/>
        <w:rPr>
          <w:rFonts w:cs="Times New Roman"/>
        </w:rPr>
      </w:pPr>
    </w:p>
    <w:p w14:paraId="7357A242" w14:textId="77777777" w:rsidR="001B3BCC" w:rsidRPr="00CB16FB" w:rsidRDefault="001B3BCC" w:rsidP="001B3BCC">
      <w:pPr>
        <w:autoSpaceDE w:val="0"/>
        <w:autoSpaceDN w:val="0"/>
        <w:adjustRightInd w:val="0"/>
        <w:rPr>
          <w:rFonts w:cs="Times New Roman"/>
          <w:b/>
          <w:u w:val="single"/>
        </w:rPr>
      </w:pPr>
      <w:r w:rsidRPr="00CB16FB">
        <w:rPr>
          <w:rFonts w:cs="Times New Roman"/>
          <w:b/>
          <w:u w:val="single"/>
        </w:rPr>
        <w:lastRenderedPageBreak/>
        <w:t>Investments</w:t>
      </w:r>
    </w:p>
    <w:p w14:paraId="03F8A24F" w14:textId="77777777" w:rsidR="001B3BCC" w:rsidRDefault="001B3BCC" w:rsidP="001B3BCC">
      <w:pPr>
        <w:autoSpaceDE w:val="0"/>
        <w:autoSpaceDN w:val="0"/>
        <w:adjustRightInd w:val="0"/>
        <w:rPr>
          <w:rFonts w:cs="Times New Roman"/>
        </w:rPr>
      </w:pPr>
      <w:r>
        <w:rPr>
          <w:rFonts w:cs="Times New Roman"/>
        </w:rPr>
        <w:t>The College measures and reports investments at fair value using the valuation input hierarchy established by generally accepted accounting principles, as follows:</w:t>
      </w:r>
    </w:p>
    <w:p w14:paraId="74776C90" w14:textId="77777777" w:rsidR="001B3BCC" w:rsidRDefault="001B3BCC" w:rsidP="001B3BCC">
      <w:pPr>
        <w:autoSpaceDE w:val="0"/>
        <w:autoSpaceDN w:val="0"/>
        <w:adjustRightInd w:val="0"/>
        <w:rPr>
          <w:rFonts w:cs="Times New Roman"/>
        </w:rPr>
      </w:pPr>
    </w:p>
    <w:p w14:paraId="248CD589" w14:textId="77777777" w:rsidR="001B3BCC" w:rsidRDefault="001B3BCC" w:rsidP="001B3BCC">
      <w:pPr>
        <w:pStyle w:val="Default"/>
        <w:ind w:left="720"/>
      </w:pPr>
      <w:r w:rsidRPr="00CB16FB">
        <w:rPr>
          <w:i/>
          <w:iCs/>
        </w:rPr>
        <w:t>Level 1 inputs (quoted market price</w:t>
      </w:r>
      <w:r w:rsidRPr="00CB16FB">
        <w:t xml:space="preserve">s) - Valuations based on unadjusted quoted prices in active markets for identical assets or liabilities that the College has the ability to access at the measurement date (for example prices derived from NYSE, NASDAQ and the Chicago Board of Trade). Valuation adjustments and block discounts are not applied to Level 1 securities. Since valuations are based on quoted prices that are readily and regularly available in an active market, valuation of these securities does not entail a significant degree of judgment. If a level 1 input is available for a particular investment, it must be used to value that investment. </w:t>
      </w:r>
    </w:p>
    <w:p w14:paraId="49E8C11C" w14:textId="77777777" w:rsidR="001B3BCC" w:rsidRPr="00CB16FB" w:rsidRDefault="001B3BCC" w:rsidP="001B3BCC">
      <w:pPr>
        <w:pStyle w:val="Default"/>
        <w:ind w:left="720"/>
      </w:pPr>
    </w:p>
    <w:p w14:paraId="01452EEF" w14:textId="77777777" w:rsidR="001B3BCC" w:rsidRDefault="001B3BCC" w:rsidP="001B3BCC">
      <w:pPr>
        <w:pStyle w:val="Default"/>
        <w:ind w:left="720"/>
      </w:pPr>
      <w:r w:rsidRPr="00CB16FB">
        <w:rPr>
          <w:i/>
          <w:iCs/>
        </w:rPr>
        <w:t xml:space="preserve">Level 2 inputs (observable inputs) </w:t>
      </w:r>
      <w:r w:rsidRPr="00CB16FB">
        <w:t xml:space="preserve">- Valuations based on quoted prices in markets that are not active or for which all significant inputs are observable, either directly or indirectly. Observable inputs are those that reflect the assumptions market participants would use in pricing the asset developed on market data obtained from sources independent of the College (e.g. matrix pricing, yield curves and indices). </w:t>
      </w:r>
    </w:p>
    <w:p w14:paraId="56263F8B" w14:textId="77777777" w:rsidR="001B3BCC" w:rsidRPr="00CB16FB" w:rsidRDefault="001B3BCC" w:rsidP="001B3BCC">
      <w:pPr>
        <w:pStyle w:val="Default"/>
        <w:ind w:left="720"/>
      </w:pPr>
    </w:p>
    <w:p w14:paraId="1460A499" w14:textId="77777777" w:rsidR="001B3BCC" w:rsidRDefault="001B3BCC" w:rsidP="001B3BCC">
      <w:pPr>
        <w:pStyle w:val="Default"/>
        <w:ind w:left="720"/>
      </w:pPr>
      <w:r w:rsidRPr="00CB16FB">
        <w:rPr>
          <w:i/>
          <w:iCs/>
        </w:rPr>
        <w:t xml:space="preserve">Level 3 inputs </w:t>
      </w:r>
      <w:r w:rsidRPr="00CB16FB">
        <w:t xml:space="preserve">- Valuations based on inputs that are unobservable and significant to the overall fair value measurement. Unobservable inputs are those that reflect the College's own assumptions about the assumptions that market participants would use in pricing the asset developed, based on the best information available in the circumstances (e.g. investment manager pricing for private placements, private equities and hedge funds). </w:t>
      </w:r>
    </w:p>
    <w:p w14:paraId="5A972C24" w14:textId="77777777" w:rsidR="001B3BCC" w:rsidRPr="00CB16FB" w:rsidRDefault="001B3BCC" w:rsidP="001B3BCC">
      <w:pPr>
        <w:pStyle w:val="Default"/>
        <w:ind w:left="720"/>
      </w:pPr>
    </w:p>
    <w:p w14:paraId="35828CDC" w14:textId="372F0FAA" w:rsidR="001B3BCC" w:rsidRPr="001B3BCC" w:rsidRDefault="001B3BCC" w:rsidP="00561167">
      <w:pPr>
        <w:autoSpaceDE w:val="0"/>
        <w:autoSpaceDN w:val="0"/>
        <w:adjustRightInd w:val="0"/>
      </w:pPr>
      <w:r w:rsidRPr="00CB16FB">
        <w:t>The College categorizes its fair value measurements within the fair value hierarchy established by generally accepted accounting principles. All of the College’s investments fall within the hierarchy of Level 1.</w:t>
      </w:r>
    </w:p>
    <w:p w14:paraId="54FCBBEE" w14:textId="77777777" w:rsidR="001B3BCC" w:rsidRDefault="001B3BCC" w:rsidP="00561167">
      <w:pPr>
        <w:autoSpaceDE w:val="0"/>
        <w:autoSpaceDN w:val="0"/>
        <w:adjustRightInd w:val="0"/>
        <w:rPr>
          <w:rFonts w:cs="Times New Roman"/>
        </w:rPr>
      </w:pPr>
    </w:p>
    <w:p w14:paraId="300616FC" w14:textId="77777777" w:rsidR="00561167" w:rsidRDefault="00561167" w:rsidP="00561167">
      <w:pPr>
        <w:autoSpaceDE w:val="0"/>
        <w:autoSpaceDN w:val="0"/>
        <w:adjustRightInd w:val="0"/>
        <w:rPr>
          <w:rFonts w:cs="Times New Roman"/>
        </w:rPr>
      </w:pPr>
      <w:r w:rsidRPr="009F65CF">
        <w:rPr>
          <w:rFonts w:cs="Times New Roman"/>
        </w:rPr>
        <w:t xml:space="preserve">Investments consist of </w:t>
      </w:r>
      <w:r w:rsidRPr="00161741">
        <w:rPr>
          <w:rFonts w:cs="Times New Roman"/>
        </w:rPr>
        <w:t>time certificates of deposit and a fixed annuity.  Time certificates of deposit have repurchase agreements with the respective financial institutions.</w:t>
      </w:r>
    </w:p>
    <w:p w14:paraId="74AC96AA" w14:textId="77777777" w:rsidR="00561167" w:rsidRPr="006C4437" w:rsidRDefault="00561167" w:rsidP="00561167">
      <w:pPr>
        <w:autoSpaceDE w:val="0"/>
        <w:autoSpaceDN w:val="0"/>
        <w:adjustRightInd w:val="0"/>
        <w:rPr>
          <w:rFonts w:cs="Times New Roman"/>
        </w:rPr>
      </w:pPr>
    </w:p>
    <w:p w14:paraId="1C1CDEC9" w14:textId="77777777" w:rsidR="00561167" w:rsidRDefault="00561167" w:rsidP="00561167"/>
    <w:bookmarkStart w:id="20" w:name="_MON_1445083510"/>
    <w:bookmarkEnd w:id="20"/>
    <w:p w14:paraId="1A9B9592" w14:textId="77777777" w:rsidR="00561167" w:rsidRDefault="00561167" w:rsidP="002F0078">
      <w:pPr>
        <w:jc w:val="center"/>
      </w:pPr>
      <w:r>
        <w:object w:dxaOrig="9283" w:dyaOrig="1777" w14:anchorId="50906A90">
          <v:shape id="_x0000_i1033" type="#_x0000_t75" style="width:461.25pt;height:115.5pt" o:ole="">
            <v:imagedata r:id="rId39" o:title=""/>
          </v:shape>
          <o:OLEObject Type="Embed" ProgID="Excel.Sheet.12" ShapeID="_x0000_i1033" DrawAspect="Content" ObjectID="_1577870057" r:id="rId40"/>
        </w:object>
      </w:r>
    </w:p>
    <w:p w14:paraId="5DC5BFA1" w14:textId="77777777" w:rsidR="00561167" w:rsidRPr="00443542" w:rsidRDefault="00561167" w:rsidP="00561167">
      <w:pPr>
        <w:rPr>
          <w:sz w:val="16"/>
          <w:szCs w:val="16"/>
        </w:rPr>
      </w:pPr>
      <w:r w:rsidRPr="001309E5">
        <w:rPr>
          <w:sz w:val="16"/>
          <w:szCs w:val="16"/>
          <w:highlight w:val="lightGray"/>
        </w:rPr>
        <w:t>.</w:t>
      </w:r>
      <w:r>
        <w:rPr>
          <w:sz w:val="16"/>
          <w:szCs w:val="16"/>
        </w:rPr>
        <w:t xml:space="preserve">    </w:t>
      </w:r>
    </w:p>
    <w:p w14:paraId="0655692B" w14:textId="77777777" w:rsidR="00561167" w:rsidRPr="00C13603" w:rsidRDefault="00561167" w:rsidP="00561167"/>
    <w:p w14:paraId="15B05CC2" w14:textId="77777777" w:rsidR="00561167" w:rsidRPr="00C13603" w:rsidRDefault="00561167" w:rsidP="00561167">
      <w:pPr>
        <w:rPr>
          <w:b/>
          <w:bCs/>
        </w:rPr>
      </w:pPr>
      <w:r w:rsidRPr="00C13603">
        <w:rPr>
          <w:b/>
          <w:bCs/>
        </w:rPr>
        <w:t>Custodial Credit Risks—Deposits</w:t>
      </w:r>
    </w:p>
    <w:p w14:paraId="29E3328E" w14:textId="77777777" w:rsidR="00561167" w:rsidRDefault="00561167" w:rsidP="00561167">
      <w:r w:rsidRPr="00C13603">
        <w:t xml:space="preserve">Custodial credit risk for bank demand deposits is the risk that in the event of a bank failure, the </w:t>
      </w:r>
      <w:r>
        <w:t>College</w:t>
      </w:r>
      <w:r w:rsidRPr="00C13603">
        <w:t xml:space="preserve">’s deposits may not be returned to it. The majority of the </w:t>
      </w:r>
      <w:r>
        <w:t>College</w:t>
      </w:r>
      <w:r w:rsidRPr="00C13603">
        <w:t xml:space="preserve">’s demand deposits are with </w:t>
      </w:r>
      <w:r w:rsidRPr="009F65CF">
        <w:t xml:space="preserve">the </w:t>
      </w:r>
      <w:r w:rsidRPr="00161741">
        <w:t>US Bank.</w:t>
      </w:r>
      <w:r>
        <w:t xml:space="preserve">  </w:t>
      </w:r>
      <w:r w:rsidRPr="00C13603">
        <w:t>All cash</w:t>
      </w:r>
      <w:r>
        <w:t xml:space="preserve"> and equivalents</w:t>
      </w:r>
      <w:r w:rsidRPr="00C13603">
        <w:t xml:space="preserve">, except for change funds and petty cash held by the </w:t>
      </w:r>
      <w:r>
        <w:t>College</w:t>
      </w:r>
      <w:r w:rsidRPr="00C13603">
        <w:t xml:space="preserve">, </w:t>
      </w:r>
      <w:r>
        <w:t>are</w:t>
      </w:r>
      <w:r w:rsidRPr="00C13603">
        <w:t xml:space="preserve"> insured by the Federal Deposit Insurance Corporation (FDIC) or by collateral held by the Washington Public Deposi</w:t>
      </w:r>
      <w:r>
        <w:t>t Protection Commission (PDPC).</w:t>
      </w:r>
    </w:p>
    <w:p w14:paraId="0C172E48" w14:textId="77777777" w:rsidR="00561167" w:rsidRPr="00C13603" w:rsidRDefault="00561167" w:rsidP="00561167"/>
    <w:p w14:paraId="70573893" w14:textId="77777777" w:rsidR="00561167" w:rsidRDefault="00561167" w:rsidP="00561167">
      <w:pPr>
        <w:rPr>
          <w:highlight w:val="yellow"/>
        </w:rPr>
      </w:pPr>
      <w:r w:rsidRPr="00C13603">
        <w:rPr>
          <w:b/>
          <w:bCs/>
        </w:rPr>
        <w:t>Interest Rate Risk—Investments</w:t>
      </w:r>
    </w:p>
    <w:p w14:paraId="5D2256FD" w14:textId="77777777" w:rsidR="00561167" w:rsidRDefault="00561167" w:rsidP="00561167">
      <w:pPr>
        <w:rPr>
          <w:highlight w:val="yellow"/>
        </w:rPr>
      </w:pPr>
      <w:r w:rsidRPr="00161741">
        <w:t xml:space="preserve">Through its investment policies, the College manages exposure to fair value losses arising from increasing interest rates by segmenting investments into short-term, intermediate-term and long-term pools. </w:t>
      </w:r>
    </w:p>
    <w:p w14:paraId="096FFDDB" w14:textId="77777777" w:rsidR="00561167" w:rsidRDefault="00561167" w:rsidP="00561167"/>
    <w:p w14:paraId="286A7B26" w14:textId="77777777" w:rsidR="00561167" w:rsidRPr="00C13603" w:rsidRDefault="00561167" w:rsidP="00561167">
      <w:pPr>
        <w:rPr>
          <w:b/>
          <w:bCs/>
        </w:rPr>
      </w:pPr>
      <w:r w:rsidRPr="00C13603">
        <w:rPr>
          <w:b/>
          <w:bCs/>
        </w:rPr>
        <w:t>Concentration of Credit Risk—Investments</w:t>
      </w:r>
    </w:p>
    <w:p w14:paraId="18032A50" w14:textId="77777777" w:rsidR="00561167" w:rsidRDefault="00561167" w:rsidP="00561167">
      <w:r w:rsidRPr="00C13603">
        <w:t xml:space="preserve">State law limits </w:t>
      </w:r>
      <w:r>
        <w:t>College</w:t>
      </w:r>
      <w:r w:rsidRPr="00C13603">
        <w:t xml:space="preserve"> operating investments to the highest quality sectors of the domestic fixed income market and specifically excludes corporate stocks, corporate and foreign bonds, futures contracts, commodities, real estate, limited partnerships and negotiable certificates of deposit. </w:t>
      </w:r>
      <w:r>
        <w:t>College</w:t>
      </w:r>
      <w:r w:rsidRPr="00C13603">
        <w:t xml:space="preserve"> policy does not limit the amount the </w:t>
      </w:r>
      <w:r>
        <w:t>College</w:t>
      </w:r>
      <w:r w:rsidRPr="00C13603">
        <w:t xml:space="preserve"> may invest in any one issuer.</w:t>
      </w:r>
    </w:p>
    <w:p w14:paraId="4C7AF9CE" w14:textId="77777777" w:rsidR="00561167" w:rsidRPr="00C13603" w:rsidRDefault="00561167" w:rsidP="00561167"/>
    <w:p w14:paraId="24CE3D43" w14:textId="77777777" w:rsidR="00561167" w:rsidRPr="00781118" w:rsidRDefault="00561167" w:rsidP="00561167">
      <w:pPr>
        <w:rPr>
          <w:b/>
          <w:bCs/>
        </w:rPr>
      </w:pPr>
      <w:r w:rsidRPr="00781118">
        <w:rPr>
          <w:b/>
          <w:bCs/>
        </w:rPr>
        <w:t>Custodial Credit Risk—Investments</w:t>
      </w:r>
    </w:p>
    <w:p w14:paraId="1710FC9F" w14:textId="77777777" w:rsidR="00561167" w:rsidRDefault="00561167" w:rsidP="00561167">
      <w:r w:rsidRPr="00781118">
        <w:t xml:space="preserve">Custodial credit risk for investments is the risk that in the event of the failure of the counterparty to a transaction, the </w:t>
      </w:r>
      <w:r>
        <w:t>College</w:t>
      </w:r>
      <w:r w:rsidRPr="00781118">
        <w:t xml:space="preserve"> will not be able to recover the value of investment or collateral securities that are in the possession of an outside party. At June 30, 201</w:t>
      </w:r>
      <w:r>
        <w:t>7</w:t>
      </w:r>
      <w:r w:rsidRPr="00781118">
        <w:t xml:space="preserve">, </w:t>
      </w:r>
      <w:r>
        <w:t>all of the College’s investments were held by the College’s custodian banks in the College’s name.</w:t>
      </w:r>
    </w:p>
    <w:p w14:paraId="01B82BF8" w14:textId="77777777" w:rsidR="00561167" w:rsidRPr="00781118" w:rsidRDefault="00561167" w:rsidP="00561167"/>
    <w:p w14:paraId="117B7228" w14:textId="77777777" w:rsidR="00561167" w:rsidRPr="00781118" w:rsidRDefault="00561167" w:rsidP="00561167">
      <w:pPr>
        <w:rPr>
          <w:b/>
          <w:bCs/>
        </w:rPr>
      </w:pPr>
      <w:r w:rsidRPr="00781118">
        <w:rPr>
          <w:b/>
          <w:bCs/>
        </w:rPr>
        <w:t>Investment Expenses</w:t>
      </w:r>
    </w:p>
    <w:p w14:paraId="47D730B0" w14:textId="77777777" w:rsidR="00561167" w:rsidRPr="00781118" w:rsidRDefault="00561167" w:rsidP="00561167">
      <w:r w:rsidRPr="00781118">
        <w:t xml:space="preserve">Under implementation of GASB 35, investment income for the </w:t>
      </w:r>
      <w:r>
        <w:t>College</w:t>
      </w:r>
      <w:r w:rsidRPr="00781118">
        <w:t xml:space="preserve"> is shown net of investment expenses.</w:t>
      </w:r>
      <w:r>
        <w:t xml:space="preserve">  The investment expenses incurred for the fiscal year ended June 30, 2017 were $887.</w:t>
      </w:r>
      <w:r w:rsidRPr="00781118">
        <w:t xml:space="preserve"> </w:t>
      </w:r>
    </w:p>
    <w:p w14:paraId="2573BDB6" w14:textId="77777777" w:rsidR="00561167" w:rsidRDefault="00561167" w:rsidP="00561167">
      <w:pPr>
        <w:rPr>
          <w:highlight w:val="yellow"/>
        </w:rPr>
      </w:pPr>
    </w:p>
    <w:p w14:paraId="6441A690" w14:textId="011EED98" w:rsidR="00561167" w:rsidRDefault="00561167" w:rsidP="00561167">
      <w:pPr>
        <w:rPr>
          <w:highlight w:val="yellow"/>
        </w:rPr>
      </w:pPr>
    </w:p>
    <w:p w14:paraId="1A8D96B2" w14:textId="36657C3D" w:rsidR="00946F01" w:rsidRDefault="00946F01" w:rsidP="00561167">
      <w:pPr>
        <w:rPr>
          <w:highlight w:val="yellow"/>
        </w:rPr>
      </w:pPr>
    </w:p>
    <w:p w14:paraId="6E5C0A12" w14:textId="77777777" w:rsidR="00946F01" w:rsidRPr="00C13603" w:rsidRDefault="00946F01" w:rsidP="00561167">
      <w:pPr>
        <w:rPr>
          <w:highlight w:val="yellow"/>
        </w:rPr>
      </w:pPr>
    </w:p>
    <w:p w14:paraId="459FCC09" w14:textId="77777777" w:rsidR="00561167" w:rsidRPr="00742405" w:rsidRDefault="00561167" w:rsidP="00561167">
      <w:pPr>
        <w:rPr>
          <w:b/>
        </w:rPr>
      </w:pPr>
      <w:r>
        <w:rPr>
          <w:b/>
        </w:rPr>
        <w:t>4</w:t>
      </w:r>
      <w:r w:rsidRPr="00742405">
        <w:rPr>
          <w:b/>
        </w:rPr>
        <w:t>. Accounts Receivable</w:t>
      </w:r>
    </w:p>
    <w:p w14:paraId="1E635A6D" w14:textId="77777777" w:rsidR="00561167" w:rsidRDefault="00561167" w:rsidP="00561167">
      <w:r>
        <w:t>Accounts receivable consists of tuition and fee charges to students and auxiliary enterprise services provided to students, faculty and staff.  It also includes amounts due from federal, state and local governments or private sources in connection with reimbursements of allowable expenditures made according to sponsored agreements. At June 30, 2017</w:t>
      </w:r>
      <w:r w:rsidRPr="00742405">
        <w:t>, accounts receivable were as follows.</w:t>
      </w:r>
    </w:p>
    <w:p w14:paraId="6490C350" w14:textId="77777777" w:rsidR="00561167" w:rsidRDefault="00561167" w:rsidP="00561167"/>
    <w:bookmarkStart w:id="21" w:name="_MON_1445089418"/>
    <w:bookmarkEnd w:id="21"/>
    <w:p w14:paraId="20A1CB5A" w14:textId="69668BCA" w:rsidR="00561167" w:rsidRDefault="00951211" w:rsidP="002F0078">
      <w:pPr>
        <w:jc w:val="center"/>
      </w:pPr>
      <w:r>
        <w:object w:dxaOrig="6742" w:dyaOrig="2692" w14:anchorId="4F54FE3D">
          <v:shape id="_x0000_i1034" type="#_x0000_t75" style="width:338.25pt;height:158.25pt" o:ole="">
            <v:imagedata r:id="rId41" o:title=""/>
          </v:shape>
          <o:OLEObject Type="Embed" ProgID="Excel.Sheet.12" ShapeID="_x0000_i1034" DrawAspect="Content" ObjectID="_1577870058" r:id="rId42"/>
        </w:object>
      </w:r>
    </w:p>
    <w:p w14:paraId="7A02F5C3" w14:textId="77777777" w:rsidR="00561167" w:rsidRDefault="00561167" w:rsidP="00561167"/>
    <w:p w14:paraId="5E9B3146" w14:textId="77777777" w:rsidR="00561167" w:rsidRDefault="00561167" w:rsidP="00561167"/>
    <w:p w14:paraId="02BE38F4" w14:textId="77777777" w:rsidR="00561167" w:rsidRPr="00236531" w:rsidRDefault="00561167" w:rsidP="00561167">
      <w:pPr>
        <w:rPr>
          <w:b/>
          <w:bCs/>
        </w:rPr>
      </w:pPr>
      <w:r>
        <w:rPr>
          <w:b/>
          <w:bCs/>
        </w:rPr>
        <w:t>5</w:t>
      </w:r>
      <w:r w:rsidRPr="00236531">
        <w:rPr>
          <w:b/>
          <w:bCs/>
        </w:rPr>
        <w:t>. Loans Receivable</w:t>
      </w:r>
    </w:p>
    <w:p w14:paraId="569B990B" w14:textId="77777777" w:rsidR="00561167" w:rsidRDefault="00561167" w:rsidP="00561167">
      <w:r w:rsidRPr="00236531">
        <w:t>Loans receivable as of June 30, 201</w:t>
      </w:r>
      <w:r>
        <w:t>7 consisted primarily of student loans, as follows</w:t>
      </w:r>
      <w:r w:rsidRPr="00236531">
        <w:t>.</w:t>
      </w:r>
      <w:r>
        <w:t xml:space="preserve"> </w:t>
      </w:r>
      <w:r w:rsidRPr="00236531">
        <w:t xml:space="preserve"> </w:t>
      </w:r>
    </w:p>
    <w:p w14:paraId="2A4B21E0" w14:textId="77777777" w:rsidR="00561167" w:rsidRDefault="00561167" w:rsidP="00561167"/>
    <w:bookmarkStart w:id="22" w:name="_MON_1445089773"/>
    <w:bookmarkEnd w:id="22"/>
    <w:p w14:paraId="1F5F67EB" w14:textId="77777777" w:rsidR="00561167" w:rsidRPr="00236531" w:rsidRDefault="00561167" w:rsidP="002F0078">
      <w:pPr>
        <w:jc w:val="center"/>
      </w:pPr>
      <w:r>
        <w:object w:dxaOrig="6676" w:dyaOrig="1530" w14:anchorId="0AAA4188">
          <v:shape id="_x0000_i1035" type="#_x0000_t75" style="width:331.5pt;height:108pt" o:ole="">
            <v:imagedata r:id="rId43" o:title=""/>
          </v:shape>
          <o:OLEObject Type="Embed" ProgID="Excel.Sheet.12" ShapeID="_x0000_i1035" DrawAspect="Content" ObjectID="_1577870059" r:id="rId44"/>
        </w:object>
      </w:r>
    </w:p>
    <w:p w14:paraId="2A22582C" w14:textId="77777777" w:rsidR="00561167" w:rsidRDefault="00561167" w:rsidP="00561167">
      <w:pPr>
        <w:rPr>
          <w:highlight w:val="yellow"/>
        </w:rPr>
      </w:pPr>
    </w:p>
    <w:p w14:paraId="029D5380" w14:textId="77777777" w:rsidR="00561167" w:rsidRPr="00C13603" w:rsidRDefault="00561167" w:rsidP="00561167">
      <w:pPr>
        <w:rPr>
          <w:highlight w:val="yellow"/>
        </w:rPr>
      </w:pPr>
    </w:p>
    <w:p w14:paraId="6898FBDC" w14:textId="77777777" w:rsidR="00561167" w:rsidRPr="00A9597F" w:rsidRDefault="00561167" w:rsidP="00561167">
      <w:pPr>
        <w:rPr>
          <w:b/>
          <w:bCs/>
        </w:rPr>
      </w:pPr>
      <w:r>
        <w:rPr>
          <w:b/>
          <w:bCs/>
        </w:rPr>
        <w:t>6</w:t>
      </w:r>
      <w:r w:rsidRPr="00A9597F">
        <w:rPr>
          <w:b/>
          <w:bCs/>
        </w:rPr>
        <w:t>. Inventories</w:t>
      </w:r>
    </w:p>
    <w:p w14:paraId="50032720" w14:textId="77777777" w:rsidR="00561167" w:rsidRDefault="00561167" w:rsidP="00561167">
      <w:r w:rsidRPr="00A9597F">
        <w:t>Inventories, stated at cost</w:t>
      </w:r>
      <w:r w:rsidRPr="009F65CF">
        <w:t>,</w:t>
      </w:r>
      <w:r w:rsidRPr="00A9597F">
        <w:t xml:space="preserve"> consisted of the following as of June 30, 201</w:t>
      </w:r>
      <w:r>
        <w:t>7</w:t>
      </w:r>
      <w:r w:rsidRPr="00A9597F">
        <w:t>.</w:t>
      </w:r>
    </w:p>
    <w:p w14:paraId="2400DF4D" w14:textId="77777777" w:rsidR="00561167" w:rsidRDefault="00561167" w:rsidP="00561167"/>
    <w:bookmarkStart w:id="23" w:name="_MON_1445090657"/>
    <w:bookmarkEnd w:id="23"/>
    <w:p w14:paraId="50835D4C" w14:textId="77777777" w:rsidR="00561167" w:rsidRDefault="00561167" w:rsidP="002F0078">
      <w:pPr>
        <w:jc w:val="center"/>
      </w:pPr>
      <w:r>
        <w:object w:dxaOrig="6486" w:dyaOrig="934" w14:anchorId="40A0A9F1">
          <v:shape id="_x0000_i1036" type="#_x0000_t75" style="width:324pt;height:1in" o:ole="">
            <v:imagedata r:id="rId45" o:title=""/>
          </v:shape>
          <o:OLEObject Type="Embed" ProgID="Excel.Sheet.12" ShapeID="_x0000_i1036" DrawAspect="Content" ObjectID="_1577870060" r:id="rId46"/>
        </w:object>
      </w:r>
    </w:p>
    <w:p w14:paraId="6BA4F3E9" w14:textId="0D58F418" w:rsidR="00561167" w:rsidRPr="00C13603" w:rsidRDefault="00561167" w:rsidP="00561167">
      <w:pPr>
        <w:rPr>
          <w:highlight w:val="yellow"/>
        </w:rPr>
      </w:pPr>
    </w:p>
    <w:p w14:paraId="322E16A6" w14:textId="77777777" w:rsidR="00561167" w:rsidRPr="00A9597F" w:rsidRDefault="00561167" w:rsidP="00561167">
      <w:pPr>
        <w:rPr>
          <w:b/>
          <w:bCs/>
        </w:rPr>
      </w:pPr>
      <w:r>
        <w:rPr>
          <w:b/>
          <w:bCs/>
        </w:rPr>
        <w:t>7</w:t>
      </w:r>
      <w:r w:rsidRPr="00A9597F">
        <w:rPr>
          <w:b/>
          <w:bCs/>
        </w:rPr>
        <w:t>. Capital Assets</w:t>
      </w:r>
    </w:p>
    <w:p w14:paraId="2D27B273" w14:textId="77777777" w:rsidR="00561167" w:rsidRDefault="00561167" w:rsidP="00561167">
      <w:r w:rsidRPr="00A9597F">
        <w:t xml:space="preserve">A summary of the changes in capital assets for the </w:t>
      </w:r>
      <w:r w:rsidRPr="00187C75">
        <w:t>year ended June 30, 2017 is presented as follows.  The current year depreciation expense was $2,625,219.</w:t>
      </w:r>
    </w:p>
    <w:p w14:paraId="66F5BEF1" w14:textId="77777777" w:rsidR="00561167" w:rsidRPr="00A9597F" w:rsidRDefault="00561167" w:rsidP="00561167"/>
    <w:p w14:paraId="7CAB033B" w14:textId="77777777" w:rsidR="00561167" w:rsidRPr="00472802" w:rsidRDefault="00561167" w:rsidP="00561167"/>
    <w:bookmarkStart w:id="24" w:name="_MON_1445090732"/>
    <w:bookmarkEnd w:id="24"/>
    <w:p w14:paraId="47A7ECEA" w14:textId="5DC4AD9D" w:rsidR="00561167" w:rsidRPr="00472802" w:rsidRDefault="00505211" w:rsidP="002F0078">
      <w:pPr>
        <w:jc w:val="center"/>
      </w:pPr>
      <w:r>
        <w:object w:dxaOrig="10299" w:dyaOrig="7308" w14:anchorId="6EA44A7B">
          <v:shape id="_x0000_i1037" type="#_x0000_t75" style="width:503.25pt;height:430.5pt" o:ole="">
            <v:imagedata r:id="rId47" o:title=""/>
          </v:shape>
          <o:OLEObject Type="Embed" ProgID="Excel.Sheet.12" ShapeID="_x0000_i1037" DrawAspect="Content" ObjectID="_1577870061" r:id="rId48"/>
        </w:object>
      </w:r>
    </w:p>
    <w:p w14:paraId="103897DD" w14:textId="77777777" w:rsidR="00561167" w:rsidRPr="00472802" w:rsidRDefault="00561167" w:rsidP="00561167"/>
    <w:p w14:paraId="6626BE5E" w14:textId="77777777" w:rsidR="00561167" w:rsidRDefault="00561167" w:rsidP="00561167">
      <w:pPr>
        <w:rPr>
          <w:b/>
          <w:bCs/>
        </w:rPr>
      </w:pPr>
      <w:r>
        <w:rPr>
          <w:b/>
          <w:bCs/>
        </w:rPr>
        <w:t xml:space="preserve">8. Deferred Outflows </w:t>
      </w:r>
      <w:r w:rsidRPr="008400FD">
        <w:rPr>
          <w:b/>
          <w:bCs/>
        </w:rPr>
        <w:t>and Deferred Inflows of Resources</w:t>
      </w:r>
    </w:p>
    <w:p w14:paraId="7762081E" w14:textId="77777777" w:rsidR="00561167" w:rsidRPr="00FF5C1D" w:rsidRDefault="00561167" w:rsidP="00561167">
      <w:pPr>
        <w:rPr>
          <w:bCs/>
        </w:rPr>
      </w:pPr>
      <w:r w:rsidRPr="00FF5C1D">
        <w:rPr>
          <w:bCs/>
        </w:rPr>
        <w:t>In addition to assets, the Statement of Net Position will sometimes report a separate section for deferred outflows of resources. This separate financial statement element represents a consumption of equity that applies to a future period(s) and so will not be recognized as an outflow of resources (expense/ expenditure) until then. The category of deferred outflow of resources reported in statement of net position relates to pensions.</w:t>
      </w:r>
    </w:p>
    <w:p w14:paraId="06DE5D4A" w14:textId="77777777" w:rsidR="00561167" w:rsidRPr="00FF5C1D" w:rsidRDefault="00561167" w:rsidP="00561167">
      <w:pPr>
        <w:rPr>
          <w:bCs/>
        </w:rPr>
      </w:pPr>
      <w:r w:rsidRPr="00FF5C1D">
        <w:rPr>
          <w:bCs/>
        </w:rPr>
        <w:t xml:space="preserve"> </w:t>
      </w:r>
    </w:p>
    <w:p w14:paraId="1BAD9310" w14:textId="77777777" w:rsidR="00561167" w:rsidRPr="00FF5C1D" w:rsidRDefault="00561167" w:rsidP="00561167">
      <w:pPr>
        <w:rPr>
          <w:bCs/>
        </w:rPr>
      </w:pPr>
      <w:r w:rsidRPr="00FF5C1D">
        <w:rPr>
          <w:bCs/>
        </w:rPr>
        <w:t xml:space="preserve">Deferred outflows on pensions are recorded when </w:t>
      </w:r>
      <w:r>
        <w:rPr>
          <w:bCs/>
        </w:rPr>
        <w:t>projected</w:t>
      </w:r>
      <w:r w:rsidRPr="00FF5C1D">
        <w:rPr>
          <w:bCs/>
        </w:rPr>
        <w:t xml:space="preserve"> earnings on pension plan investments exceed </w:t>
      </w:r>
      <w:r>
        <w:rPr>
          <w:bCs/>
        </w:rPr>
        <w:t>actual</w:t>
      </w:r>
      <w:r w:rsidRPr="00FF5C1D">
        <w:rPr>
          <w:bCs/>
        </w:rPr>
        <w:t xml:space="preserve"> earnings and are amortized to pension expense using a systematic and </w:t>
      </w:r>
      <w:r w:rsidRPr="00FF5C1D">
        <w:rPr>
          <w:bCs/>
        </w:rPr>
        <w:lastRenderedPageBreak/>
        <w:t xml:space="preserve">rational method over a closed five-year period. Deferred outflows on pensions also include the difference between expected and actual experience with regard to economic or demographic factors; changes of assumptions about future economic, demographic, or other input factors; or changes in the state’s proportionate share of net pension liability. These are amortized over the average expected remaining service lives of all employees that are provided with pensions through each pension plan. State contributions to pension plans made subsequent to the measurement date are also deferred and reduce net pension liability in the subsequent year. </w:t>
      </w:r>
    </w:p>
    <w:p w14:paraId="6CEF829C" w14:textId="77777777" w:rsidR="00561167" w:rsidRPr="00FF5C1D" w:rsidRDefault="00561167" w:rsidP="00561167">
      <w:pPr>
        <w:rPr>
          <w:bCs/>
        </w:rPr>
      </w:pPr>
    </w:p>
    <w:p w14:paraId="3B72848C" w14:textId="77777777" w:rsidR="00561167" w:rsidRPr="00FF5C1D" w:rsidRDefault="00561167" w:rsidP="00561167">
      <w:pPr>
        <w:rPr>
          <w:bCs/>
        </w:rPr>
      </w:pPr>
      <w:r w:rsidRPr="00FF5C1D">
        <w:rPr>
          <w:bCs/>
        </w:rPr>
        <w:t>In addition to liabilities, the Statement of Net Position will sometimes report a separate section for deferred inflows of resources. This separate financial statement element represents an acquisition of equity that applies to a future period(s) and so will not be recognized as an inflow of resources (revenue) until that time. Deferred inflows of resources reported by the College relate to pensions.</w:t>
      </w:r>
    </w:p>
    <w:p w14:paraId="3353BBA9" w14:textId="77777777" w:rsidR="00561167" w:rsidRPr="00FF5C1D" w:rsidRDefault="00561167" w:rsidP="00561167">
      <w:pPr>
        <w:rPr>
          <w:bCs/>
        </w:rPr>
      </w:pPr>
      <w:r w:rsidRPr="00FF5C1D">
        <w:rPr>
          <w:bCs/>
        </w:rPr>
        <w:t xml:space="preserve"> </w:t>
      </w:r>
    </w:p>
    <w:p w14:paraId="2E532334" w14:textId="77777777" w:rsidR="00561167" w:rsidRPr="00FF5C1D" w:rsidRDefault="00561167" w:rsidP="00561167">
      <w:pPr>
        <w:rPr>
          <w:bCs/>
        </w:rPr>
      </w:pPr>
      <w:r w:rsidRPr="00FF5C1D">
        <w:rPr>
          <w:bCs/>
        </w:rPr>
        <w:t xml:space="preserve">Deferred inflows on pensions are recorded when </w:t>
      </w:r>
      <w:r>
        <w:rPr>
          <w:bCs/>
        </w:rPr>
        <w:t>actual</w:t>
      </w:r>
      <w:r w:rsidRPr="00FF5C1D">
        <w:rPr>
          <w:bCs/>
        </w:rPr>
        <w:t xml:space="preserve"> earnings on pension plan investments exceed </w:t>
      </w:r>
      <w:r>
        <w:rPr>
          <w:bCs/>
        </w:rPr>
        <w:t xml:space="preserve"> projected</w:t>
      </w:r>
      <w:r w:rsidRPr="00FF5C1D">
        <w:rPr>
          <w:bCs/>
        </w:rPr>
        <w:t xml:space="preserve"> earnings and are amortized to pension expense using a systematic and rational method over a closed five-year period. Deferred inflows on pensions also include the difference between expected and actual experience with regard to economic or demographic factors; changes of assumptions about future economic, demographic, or other input factors; or changes in the state’s proportionate share of net pension liability. These are amortized over the average expected remaining service lives of all employees that are provided with pensions through each pension plan.</w:t>
      </w:r>
    </w:p>
    <w:p w14:paraId="467A4F71" w14:textId="77777777" w:rsidR="00561167" w:rsidRDefault="00561167" w:rsidP="00561167">
      <w:pPr>
        <w:rPr>
          <w:bCs/>
        </w:rPr>
      </w:pPr>
    </w:p>
    <w:p w14:paraId="5D467BD0" w14:textId="77777777" w:rsidR="00561167" w:rsidRPr="00FF5C1D" w:rsidRDefault="00561167" w:rsidP="00561167">
      <w:pPr>
        <w:rPr>
          <w:bCs/>
        </w:rPr>
      </w:pPr>
    </w:p>
    <w:p w14:paraId="7408CBA0" w14:textId="77777777" w:rsidR="00561167" w:rsidRPr="00742405" w:rsidRDefault="00561167" w:rsidP="00561167">
      <w:pPr>
        <w:rPr>
          <w:b/>
          <w:bCs/>
        </w:rPr>
      </w:pPr>
      <w:r>
        <w:rPr>
          <w:b/>
          <w:bCs/>
        </w:rPr>
        <w:t>9</w:t>
      </w:r>
      <w:r w:rsidRPr="00742405">
        <w:rPr>
          <w:b/>
          <w:bCs/>
        </w:rPr>
        <w:t>. Accounts Payable and Accrued Liabilities</w:t>
      </w:r>
    </w:p>
    <w:p w14:paraId="1078BD01" w14:textId="77777777" w:rsidR="00561167" w:rsidRDefault="00561167" w:rsidP="00561167">
      <w:r>
        <w:t>At June 30, 2017</w:t>
      </w:r>
      <w:r w:rsidRPr="00742405">
        <w:t>, accrued liabilities are the following.</w:t>
      </w:r>
    </w:p>
    <w:p w14:paraId="02F776DB" w14:textId="77777777" w:rsidR="00561167" w:rsidRDefault="00561167" w:rsidP="00561167"/>
    <w:bookmarkStart w:id="25" w:name="_MON_1445090759"/>
    <w:bookmarkEnd w:id="25"/>
    <w:p w14:paraId="6A975878" w14:textId="4106CD46" w:rsidR="00561167" w:rsidRDefault="00BF6E08" w:rsidP="00561167">
      <w:r>
        <w:object w:dxaOrig="7497" w:dyaOrig="1515" w14:anchorId="2FCA38E9">
          <v:shape id="_x0000_i1038" type="#_x0000_t75" style="width:377.25pt;height:90.75pt" o:ole="">
            <v:imagedata r:id="rId49" o:title=""/>
          </v:shape>
          <o:OLEObject Type="Embed" ProgID="Excel.Sheet.12" ShapeID="_x0000_i1038" DrawAspect="Content" ObjectID="_1577870062" r:id="rId50"/>
        </w:object>
      </w:r>
    </w:p>
    <w:p w14:paraId="4B29D42E" w14:textId="77777777" w:rsidR="00561167" w:rsidRDefault="00561167" w:rsidP="00561167"/>
    <w:p w14:paraId="1EBDB85D" w14:textId="39C63F61" w:rsidR="00561167" w:rsidRDefault="00561167" w:rsidP="00561167">
      <w:pPr>
        <w:rPr>
          <w:highlight w:val="yellow"/>
        </w:rPr>
      </w:pPr>
    </w:p>
    <w:p w14:paraId="057A51EB" w14:textId="77777777" w:rsidR="002F0078" w:rsidRPr="00C13603" w:rsidRDefault="002F0078" w:rsidP="00561167">
      <w:pPr>
        <w:rPr>
          <w:highlight w:val="yellow"/>
        </w:rPr>
      </w:pPr>
    </w:p>
    <w:p w14:paraId="6F567E7B" w14:textId="77777777" w:rsidR="00561167" w:rsidRPr="005140B7" w:rsidRDefault="00561167" w:rsidP="00561167">
      <w:pPr>
        <w:rPr>
          <w:b/>
        </w:rPr>
      </w:pPr>
      <w:r>
        <w:rPr>
          <w:b/>
        </w:rPr>
        <w:t>10</w:t>
      </w:r>
      <w:r w:rsidRPr="005140B7">
        <w:rPr>
          <w:b/>
        </w:rPr>
        <w:t xml:space="preserve">. </w:t>
      </w:r>
      <w:r>
        <w:rPr>
          <w:b/>
        </w:rPr>
        <w:t>Unearned</w:t>
      </w:r>
      <w:r w:rsidRPr="005140B7">
        <w:rPr>
          <w:b/>
        </w:rPr>
        <w:t xml:space="preserve"> Revenue</w:t>
      </w:r>
    </w:p>
    <w:p w14:paraId="643F2573" w14:textId="6440F516" w:rsidR="00561167" w:rsidRDefault="00561167" w:rsidP="00561167">
      <w:r>
        <w:t>Unearned</w:t>
      </w:r>
      <w:r w:rsidRPr="005140B7">
        <w:t xml:space="preserve"> revenue is comprised of receipts which have not yet met revenue recognition criteria</w:t>
      </w:r>
      <w:r>
        <w:t>, as follows:</w:t>
      </w:r>
    </w:p>
    <w:p w14:paraId="2B0737D7" w14:textId="77777777" w:rsidR="00CC6EAA" w:rsidRDefault="00CC6EAA" w:rsidP="00561167"/>
    <w:bookmarkStart w:id="26" w:name="_MON_1445372882"/>
    <w:bookmarkEnd w:id="26"/>
    <w:p w14:paraId="658C94DA" w14:textId="2F54C1AD" w:rsidR="00561167" w:rsidRDefault="00C33583" w:rsidP="00561167">
      <w:r>
        <w:object w:dxaOrig="6613" w:dyaOrig="1225" w14:anchorId="7BF60F98">
          <v:shape id="_x0000_i1039" type="#_x0000_t75" style="width:331.5pt;height:97.5pt" o:ole="">
            <v:imagedata r:id="rId51" o:title=""/>
          </v:shape>
          <o:OLEObject Type="Embed" ProgID="Excel.Sheet.12" ShapeID="_x0000_i1039" DrawAspect="Content" ObjectID="_1577870063" r:id="rId52"/>
        </w:object>
      </w:r>
    </w:p>
    <w:p w14:paraId="5D37547F" w14:textId="77777777" w:rsidR="00561167" w:rsidRDefault="00561167" w:rsidP="00561167"/>
    <w:p w14:paraId="2EB17C28" w14:textId="77777777" w:rsidR="00561167" w:rsidRDefault="00561167" w:rsidP="00561167"/>
    <w:p w14:paraId="69F4D336" w14:textId="77777777" w:rsidR="00561167" w:rsidRPr="00AC4D31" w:rsidRDefault="00561167" w:rsidP="00561167">
      <w:pPr>
        <w:rPr>
          <w:b/>
        </w:rPr>
      </w:pPr>
      <w:r>
        <w:rPr>
          <w:b/>
        </w:rPr>
        <w:t>11</w:t>
      </w:r>
      <w:r w:rsidRPr="00AC4D31">
        <w:rPr>
          <w:b/>
        </w:rPr>
        <w:t>. Risk Management</w:t>
      </w:r>
    </w:p>
    <w:p w14:paraId="70579FCC" w14:textId="77777777" w:rsidR="00561167" w:rsidRDefault="00561167" w:rsidP="00561167">
      <w:r w:rsidRPr="00F004E6">
        <w:t>The College is exposed to various risk of loss related to tort liability, injuries to employees, errors and omissions, theft of, damage to, and destruction of assets, and natural disasters. The College purchases insurance to mitigate these risks. Management believes such coverage is sufficient to preclude any significant uninsured losses for the covered risks.</w:t>
      </w:r>
    </w:p>
    <w:p w14:paraId="6C9A4580" w14:textId="77777777" w:rsidR="00561167" w:rsidRDefault="00561167" w:rsidP="00561167"/>
    <w:p w14:paraId="75692B05" w14:textId="77777777" w:rsidR="00561167" w:rsidRPr="00AC4D31" w:rsidRDefault="00561167" w:rsidP="00561167">
      <w:r w:rsidRPr="00AC4D31">
        <w:t xml:space="preserve">The </w:t>
      </w:r>
      <w:r>
        <w:t>College</w:t>
      </w:r>
      <w:r w:rsidRPr="00AC4D31">
        <w:t xml:space="preserve">, in accordance with state policy, </w:t>
      </w:r>
      <w:r>
        <w:t xml:space="preserve">pays unemployment claims on a pay-as-you-go basis.  </w:t>
      </w:r>
      <w:r w:rsidRPr="00224C4C">
        <w:t>Payments made for claims from July 1, 201</w:t>
      </w:r>
      <w:r>
        <w:t>6</w:t>
      </w:r>
      <w:r w:rsidRPr="00224C4C">
        <w:t xml:space="preserve"> through June 30, 201</w:t>
      </w:r>
      <w:r>
        <w:t>7</w:t>
      </w:r>
      <w:r w:rsidRPr="00224C4C">
        <w:t xml:space="preserve">, </w:t>
      </w:r>
      <w:r w:rsidRPr="00187C75">
        <w:t>were $119,606.</w:t>
      </w:r>
      <w:r w:rsidRPr="00224C4C">
        <w:t xml:space="preserve"> </w:t>
      </w:r>
    </w:p>
    <w:p w14:paraId="5EA451D4" w14:textId="77777777" w:rsidR="00561167" w:rsidRPr="00E10356" w:rsidRDefault="00561167" w:rsidP="00561167">
      <w:pPr>
        <w:rPr>
          <w:u w:val="single"/>
        </w:rPr>
      </w:pPr>
    </w:p>
    <w:p w14:paraId="60E42B53" w14:textId="77777777" w:rsidR="00561167" w:rsidRDefault="00561167" w:rsidP="00561167">
      <w:r w:rsidRPr="008514A9">
        <w:t xml:space="preserve">The College purchases commercial property insurance through the master property program administered by the Department of Enterprise Services for buildings that were acquired with COP proceeds.  The policy has a deductible of $250,000 per occurrence and the policy limit is $100,000,000 per occurrence.  The college has had no claims in excess of the coverage amount within the past three years.  The College assumes its potential property losses for most other buildings and contents. </w:t>
      </w:r>
    </w:p>
    <w:p w14:paraId="2C5EEBEA" w14:textId="77777777" w:rsidR="00561167" w:rsidRPr="008514A9" w:rsidRDefault="00561167" w:rsidP="00561167"/>
    <w:p w14:paraId="508D44E7" w14:textId="77777777" w:rsidR="00561167" w:rsidRPr="004154FC" w:rsidRDefault="00561167" w:rsidP="00561167">
      <w:pPr>
        <w:spacing w:after="200" w:line="276" w:lineRule="auto"/>
        <w:rPr>
          <w:rFonts w:cs="Times New Roman"/>
        </w:rPr>
      </w:pPr>
      <w:r w:rsidRPr="004154FC">
        <w:rPr>
          <w:rFonts w:cs="Times New Roman"/>
        </w:rPr>
        <w:t>The College participates in a State of Washington risk management self-insurance program, which covers its exposure to tort, general damage and vehicle claims. Premiums paid to the State are based on actuarially determined projections and include allowances for payments of both outstanding and current liabilities. Coverage is provided up to $10,000,000 for each claim with no deductible. The college has had no claims in excess of the coverage amount within the past three years.</w:t>
      </w:r>
    </w:p>
    <w:p w14:paraId="5699240A" w14:textId="77777777" w:rsidR="00561167" w:rsidRPr="00E647C8" w:rsidRDefault="00561167" w:rsidP="00561167"/>
    <w:p w14:paraId="4C087078" w14:textId="77777777" w:rsidR="00561167" w:rsidRPr="00F91803" w:rsidRDefault="00561167" w:rsidP="00561167">
      <w:pPr>
        <w:rPr>
          <w:rFonts w:cs="Times New Roman"/>
          <w:b/>
          <w:bCs/>
        </w:rPr>
      </w:pPr>
      <w:r w:rsidRPr="005140B7">
        <w:rPr>
          <w:b/>
          <w:bCs/>
        </w:rPr>
        <w:t>1</w:t>
      </w:r>
      <w:r>
        <w:rPr>
          <w:b/>
          <w:bCs/>
        </w:rPr>
        <w:t>2</w:t>
      </w:r>
      <w:r w:rsidRPr="005140B7">
        <w:rPr>
          <w:b/>
          <w:bCs/>
        </w:rPr>
        <w:t>. Compensated Absences</w:t>
      </w:r>
    </w:p>
    <w:p w14:paraId="7ACF8774" w14:textId="77777777" w:rsidR="00561167" w:rsidRPr="00F91803" w:rsidRDefault="00561167" w:rsidP="00561167">
      <w:pPr>
        <w:autoSpaceDE w:val="0"/>
        <w:autoSpaceDN w:val="0"/>
        <w:adjustRightInd w:val="0"/>
        <w:rPr>
          <w:rFonts w:cs="Times New Roman"/>
        </w:rPr>
      </w:pPr>
      <w:r w:rsidRPr="00F91803">
        <w:rPr>
          <w:rFonts w:cs="Times New Roman"/>
        </w:rPr>
        <w:t>At termination of employment, employees may receive cash payments for all accumulated vacation and</w:t>
      </w:r>
      <w:r>
        <w:rPr>
          <w:rFonts w:cs="Times New Roman"/>
        </w:rPr>
        <w:t xml:space="preserve"> </w:t>
      </w:r>
      <w:r w:rsidRPr="00F91803">
        <w:rPr>
          <w:rFonts w:cs="Times New Roman"/>
        </w:rPr>
        <w:t xml:space="preserve">compensatory time. </w:t>
      </w:r>
      <w:r>
        <w:rPr>
          <w:rFonts w:cs="Times New Roman"/>
        </w:rPr>
        <w:t xml:space="preserve"> </w:t>
      </w:r>
      <w:r w:rsidRPr="00F91803">
        <w:rPr>
          <w:rFonts w:cs="Times New Roman"/>
        </w:rPr>
        <w:t xml:space="preserve">Employees who retire get 25% of the value of their accumulated sick </w:t>
      </w:r>
      <w:r w:rsidRPr="00436416">
        <w:rPr>
          <w:rFonts w:cs="Times New Roman"/>
        </w:rPr>
        <w:t xml:space="preserve">leave </w:t>
      </w:r>
      <w:r w:rsidRPr="00161741">
        <w:rPr>
          <w:rFonts w:cs="Times New Roman"/>
        </w:rPr>
        <w:t>credited to a Voluntary Employees’ Beneficiary Association (VEBA) account</w:t>
      </w:r>
      <w:r w:rsidRPr="00436416">
        <w:rPr>
          <w:rFonts w:cs="Times New Roman"/>
        </w:rPr>
        <w:t>, which can be used for future medical expenses and insurance purposes. The amounts of</w:t>
      </w:r>
      <w:r w:rsidRPr="00F91803">
        <w:rPr>
          <w:rFonts w:cs="Times New Roman"/>
        </w:rPr>
        <w:t xml:space="preserve"> unpaid vacation and compensatory time accumulated by College employees</w:t>
      </w:r>
      <w:r>
        <w:rPr>
          <w:rFonts w:cs="Times New Roman"/>
        </w:rPr>
        <w:t xml:space="preserve"> </w:t>
      </w:r>
      <w:r w:rsidRPr="00F91803">
        <w:rPr>
          <w:rFonts w:cs="Times New Roman"/>
        </w:rPr>
        <w:t>are accrued when incurred. The sick leave liability is recorded as an actuarial estimate of one-fourth the total</w:t>
      </w:r>
    </w:p>
    <w:p w14:paraId="068C6182" w14:textId="77777777" w:rsidR="00561167" w:rsidRPr="00187C75" w:rsidRDefault="00561167" w:rsidP="00561167">
      <w:pPr>
        <w:autoSpaceDE w:val="0"/>
        <w:autoSpaceDN w:val="0"/>
        <w:adjustRightInd w:val="0"/>
        <w:rPr>
          <w:rFonts w:cs="Times New Roman"/>
        </w:rPr>
      </w:pPr>
      <w:r w:rsidRPr="00F91803">
        <w:rPr>
          <w:rFonts w:cs="Times New Roman"/>
        </w:rPr>
        <w:lastRenderedPageBreak/>
        <w:t>balance on the payroll records.</w:t>
      </w:r>
      <w:r>
        <w:rPr>
          <w:rFonts w:cs="Times New Roman"/>
        </w:rPr>
        <w:t xml:space="preserve">  Accrued annual and sick leave are categorized as non-current </w:t>
      </w:r>
      <w:r w:rsidRPr="00187C75">
        <w:rPr>
          <w:rFonts w:cs="Times New Roman"/>
        </w:rPr>
        <w:t>liabilities. The accrued vacation leave totaled $1,339,642, and accrued sick leave totaled $2,138,665 at June 30, 2017.</w:t>
      </w:r>
    </w:p>
    <w:p w14:paraId="52856F26" w14:textId="77777777" w:rsidR="00561167" w:rsidRPr="00187C75" w:rsidRDefault="00561167" w:rsidP="00561167">
      <w:pPr>
        <w:autoSpaceDE w:val="0"/>
        <w:autoSpaceDN w:val="0"/>
        <w:adjustRightInd w:val="0"/>
        <w:rPr>
          <w:rFonts w:cs="Times New Roman"/>
        </w:rPr>
      </w:pPr>
    </w:p>
    <w:p w14:paraId="6405E41D" w14:textId="77777777" w:rsidR="00561167" w:rsidRPr="00F91803" w:rsidRDefault="00561167" w:rsidP="00561167">
      <w:pPr>
        <w:rPr>
          <w:rFonts w:cs="Times New Roman"/>
        </w:rPr>
      </w:pPr>
      <w:r w:rsidRPr="00187C75">
        <w:t>In addition to vacation and sick leave accrued, compensated absences also includes faculty tenure purchase retirement options.  These faculty retirement buyouts may be spread out over a period of years.  The amount due to faculty in fiscal year 2017 is categorized as a current liability in the amount of $387,859, and the amount spread over longer periods is categorized as non-current liabilities in the amount of $304,944.</w:t>
      </w:r>
    </w:p>
    <w:p w14:paraId="510D082C" w14:textId="77777777" w:rsidR="00561167" w:rsidRDefault="00561167" w:rsidP="00561167">
      <w:pPr>
        <w:rPr>
          <w:b/>
          <w:bCs/>
        </w:rPr>
      </w:pPr>
    </w:p>
    <w:p w14:paraId="7BFF5F71" w14:textId="77777777" w:rsidR="00561167" w:rsidRDefault="00561167" w:rsidP="00561167">
      <w:pPr>
        <w:autoSpaceDE w:val="0"/>
        <w:autoSpaceDN w:val="0"/>
        <w:adjustRightInd w:val="0"/>
        <w:rPr>
          <w:rFonts w:cs="Times New Roman"/>
        </w:rPr>
      </w:pPr>
    </w:p>
    <w:p w14:paraId="0EFD5BA1" w14:textId="77777777" w:rsidR="00561167" w:rsidRPr="006F4037" w:rsidRDefault="00561167" w:rsidP="00561167">
      <w:pPr>
        <w:autoSpaceDE w:val="0"/>
        <w:autoSpaceDN w:val="0"/>
        <w:adjustRightInd w:val="0"/>
        <w:rPr>
          <w:rFonts w:cs="Times New Roman"/>
          <w:b/>
          <w:bCs/>
        </w:rPr>
      </w:pPr>
      <w:r>
        <w:rPr>
          <w:rFonts w:cs="Times New Roman"/>
          <w:b/>
          <w:bCs/>
        </w:rPr>
        <w:t xml:space="preserve">13. </w:t>
      </w:r>
      <w:r w:rsidRPr="006F4037">
        <w:rPr>
          <w:rFonts w:cs="Times New Roman"/>
          <w:b/>
          <w:bCs/>
        </w:rPr>
        <w:t>Notes Payable</w:t>
      </w:r>
    </w:p>
    <w:p w14:paraId="28B0E06B" w14:textId="77777777" w:rsidR="00561167" w:rsidRDefault="00561167" w:rsidP="00561167">
      <w:pPr>
        <w:autoSpaceDE w:val="0"/>
        <w:autoSpaceDN w:val="0"/>
        <w:adjustRightInd w:val="0"/>
        <w:rPr>
          <w:rFonts w:cs="Times New Roman"/>
        </w:rPr>
      </w:pPr>
      <w:r>
        <w:rPr>
          <w:rFonts w:cs="Times New Roman"/>
        </w:rPr>
        <w:t>In February 2007</w:t>
      </w:r>
      <w:r w:rsidRPr="006F4037">
        <w:rPr>
          <w:rFonts w:cs="Times New Roman"/>
        </w:rPr>
        <w:t xml:space="preserve">, the College obtained financing in order to </w:t>
      </w:r>
      <w:r w:rsidRPr="00B00383">
        <w:rPr>
          <w:rFonts w:cs="Times New Roman"/>
        </w:rPr>
        <w:t xml:space="preserve">renovate the Student Campus Center </w:t>
      </w:r>
      <w:r w:rsidRPr="006F4037">
        <w:rPr>
          <w:rFonts w:cs="Times New Roman"/>
        </w:rPr>
        <w:t>Building through certificates of participation</w:t>
      </w:r>
      <w:r>
        <w:rPr>
          <w:rFonts w:cs="Times New Roman"/>
        </w:rPr>
        <w:t xml:space="preserve"> (COP)</w:t>
      </w:r>
      <w:r w:rsidRPr="006F4037">
        <w:rPr>
          <w:rFonts w:cs="Times New Roman"/>
        </w:rPr>
        <w:t xml:space="preserve">, issued by the Washington Office of State Treasurer (OST) in the amount </w:t>
      </w:r>
      <w:r w:rsidRPr="00B00383">
        <w:rPr>
          <w:rFonts w:cs="Times New Roman"/>
        </w:rPr>
        <w:t>of $3</w:t>
      </w:r>
      <w:r>
        <w:rPr>
          <w:rFonts w:cs="Times New Roman"/>
        </w:rPr>
        <w:t>,250,000</w:t>
      </w:r>
      <w:r w:rsidRPr="006F4037">
        <w:rPr>
          <w:rFonts w:cs="Times New Roman"/>
        </w:rPr>
        <w:t>.</w:t>
      </w:r>
      <w:r>
        <w:rPr>
          <w:rFonts w:cs="Times New Roman"/>
        </w:rPr>
        <w:t xml:space="preserve">  The interest rate charged was 4.29%.</w:t>
      </w:r>
      <w:r w:rsidRPr="006F4037">
        <w:rPr>
          <w:rFonts w:cs="Times New Roman"/>
        </w:rPr>
        <w:t xml:space="preserve"> </w:t>
      </w:r>
      <w:r>
        <w:rPr>
          <w:rFonts w:cs="Times New Roman"/>
        </w:rPr>
        <w:t xml:space="preserve"> In April 2016, OST refinanced this debt in the amount of $1,380,000 at a new interest rate of 1.38%.  Students assess</w:t>
      </w:r>
      <w:r w:rsidRPr="006F4037">
        <w:rPr>
          <w:rFonts w:cs="Times New Roman"/>
        </w:rPr>
        <w:t xml:space="preserve"> themselves, on a quarterly b</w:t>
      </w:r>
      <w:r>
        <w:rPr>
          <w:rFonts w:cs="Times New Roman"/>
        </w:rPr>
        <w:t xml:space="preserve">asis, a mandatory fee that services a portion of this debt.  The remaining portion of the debt is covered by the general operating budget of the college.  Student </w:t>
      </w:r>
      <w:r w:rsidRPr="006F4037">
        <w:rPr>
          <w:rFonts w:cs="Times New Roman"/>
        </w:rPr>
        <w:t xml:space="preserve">fees </w:t>
      </w:r>
      <w:r>
        <w:rPr>
          <w:rFonts w:cs="Times New Roman"/>
        </w:rPr>
        <w:t xml:space="preserve">related to these COP(s) </w:t>
      </w:r>
      <w:r w:rsidRPr="006F4037">
        <w:rPr>
          <w:rFonts w:cs="Times New Roman"/>
        </w:rPr>
        <w:t>are accounted for in a dedicated fund, which is used to pay principal and interest, not coming out</w:t>
      </w:r>
      <w:r>
        <w:rPr>
          <w:rFonts w:cs="Times New Roman"/>
        </w:rPr>
        <w:t xml:space="preserve"> </w:t>
      </w:r>
      <w:r w:rsidRPr="006F4037">
        <w:rPr>
          <w:rFonts w:cs="Times New Roman"/>
        </w:rPr>
        <w:t>of the general operating budget.</w:t>
      </w:r>
    </w:p>
    <w:p w14:paraId="249E33CD" w14:textId="77777777" w:rsidR="00561167" w:rsidRDefault="00561167" w:rsidP="00561167">
      <w:pPr>
        <w:autoSpaceDE w:val="0"/>
        <w:autoSpaceDN w:val="0"/>
        <w:adjustRightInd w:val="0"/>
        <w:rPr>
          <w:rFonts w:cs="Times New Roman"/>
        </w:rPr>
      </w:pPr>
    </w:p>
    <w:p w14:paraId="64360B86" w14:textId="77777777" w:rsidR="00561167" w:rsidRDefault="00561167" w:rsidP="00561167">
      <w:pPr>
        <w:autoSpaceDE w:val="0"/>
        <w:autoSpaceDN w:val="0"/>
        <w:adjustRightInd w:val="0"/>
        <w:rPr>
          <w:rFonts w:cs="Times New Roman"/>
        </w:rPr>
      </w:pPr>
      <w:r>
        <w:rPr>
          <w:rFonts w:cs="Times New Roman"/>
        </w:rPr>
        <w:t>In August 2012, the College obtained financing in order to install energy efficient upgrades through certificates of participation (COP), issued by the Washington Office of State Treasurer (OST) in the amount of $209,900.  The interest rate charged is 1.89%.</w:t>
      </w:r>
    </w:p>
    <w:p w14:paraId="0864FB89" w14:textId="77777777" w:rsidR="00561167" w:rsidRDefault="00561167" w:rsidP="00561167">
      <w:pPr>
        <w:autoSpaceDE w:val="0"/>
        <w:autoSpaceDN w:val="0"/>
        <w:adjustRightInd w:val="0"/>
        <w:rPr>
          <w:rFonts w:cs="Times New Roman"/>
        </w:rPr>
      </w:pPr>
    </w:p>
    <w:p w14:paraId="251260CE" w14:textId="77777777" w:rsidR="00561167" w:rsidRDefault="00561167" w:rsidP="00561167">
      <w:pPr>
        <w:autoSpaceDE w:val="0"/>
        <w:autoSpaceDN w:val="0"/>
        <w:adjustRightInd w:val="0"/>
        <w:rPr>
          <w:rFonts w:cs="Times New Roman"/>
        </w:rPr>
      </w:pPr>
      <w:r>
        <w:rPr>
          <w:rFonts w:cs="Times New Roman"/>
        </w:rPr>
        <w:t>In August 2012, the College obtained financing in order to renovate the Lewis Hall Building through certificates of participation (COP), issued by the Washington Office of State Treasurer (OST) in the amount of $25,745,000.  The interest rate charged is 3.10%.</w:t>
      </w:r>
    </w:p>
    <w:p w14:paraId="4D1894DA" w14:textId="77777777" w:rsidR="00561167" w:rsidRDefault="00561167" w:rsidP="00561167">
      <w:pPr>
        <w:autoSpaceDE w:val="0"/>
        <w:autoSpaceDN w:val="0"/>
        <w:adjustRightInd w:val="0"/>
        <w:rPr>
          <w:rFonts w:cs="Times New Roman"/>
        </w:rPr>
      </w:pPr>
    </w:p>
    <w:p w14:paraId="43135D1E" w14:textId="77777777" w:rsidR="00561167" w:rsidRDefault="00561167" w:rsidP="00561167">
      <w:pPr>
        <w:autoSpaceDE w:val="0"/>
        <w:autoSpaceDN w:val="0"/>
        <w:adjustRightInd w:val="0"/>
        <w:rPr>
          <w:rFonts w:cs="Times New Roman"/>
        </w:rPr>
      </w:pPr>
      <w:r w:rsidRPr="006F4037">
        <w:rPr>
          <w:rFonts w:cs="Times New Roman"/>
        </w:rPr>
        <w:t>The College’s debt service</w:t>
      </w:r>
      <w:r>
        <w:rPr>
          <w:rFonts w:cs="Times New Roman"/>
        </w:rPr>
        <w:t xml:space="preserve"> requirements for these</w:t>
      </w:r>
      <w:r w:rsidRPr="006F4037">
        <w:rPr>
          <w:rFonts w:cs="Times New Roman"/>
        </w:rPr>
        <w:t xml:space="preserve"> </w:t>
      </w:r>
      <w:r w:rsidRPr="002C421A">
        <w:rPr>
          <w:rFonts w:cs="Times New Roman"/>
        </w:rPr>
        <w:t>note agreements for the</w:t>
      </w:r>
      <w:r w:rsidRPr="006F4037">
        <w:rPr>
          <w:rFonts w:cs="Times New Roman"/>
        </w:rPr>
        <w:t xml:space="preserve"> next five years and thereafter are as follows:</w:t>
      </w:r>
    </w:p>
    <w:p w14:paraId="58E80D48" w14:textId="2C3A05DD" w:rsidR="00561167" w:rsidRDefault="00561167" w:rsidP="00561167">
      <w:pPr>
        <w:autoSpaceDE w:val="0"/>
        <w:autoSpaceDN w:val="0"/>
        <w:adjustRightInd w:val="0"/>
        <w:rPr>
          <w:rFonts w:cs="Times New Roman"/>
        </w:rPr>
      </w:pPr>
    </w:p>
    <w:p w14:paraId="48FFC59A" w14:textId="5941D6BC" w:rsidR="002F0078" w:rsidRDefault="002F0078" w:rsidP="00561167">
      <w:pPr>
        <w:autoSpaceDE w:val="0"/>
        <w:autoSpaceDN w:val="0"/>
        <w:adjustRightInd w:val="0"/>
        <w:rPr>
          <w:rFonts w:cs="Times New Roman"/>
        </w:rPr>
      </w:pPr>
    </w:p>
    <w:p w14:paraId="4DD7C496" w14:textId="3546A90D" w:rsidR="002F0078" w:rsidRDefault="002F0078" w:rsidP="00561167">
      <w:pPr>
        <w:autoSpaceDE w:val="0"/>
        <w:autoSpaceDN w:val="0"/>
        <w:adjustRightInd w:val="0"/>
        <w:rPr>
          <w:rFonts w:cs="Times New Roman"/>
        </w:rPr>
      </w:pPr>
    </w:p>
    <w:p w14:paraId="72D03A8D" w14:textId="61E9FEC2" w:rsidR="002F0078" w:rsidRDefault="002F0078" w:rsidP="00561167">
      <w:pPr>
        <w:autoSpaceDE w:val="0"/>
        <w:autoSpaceDN w:val="0"/>
        <w:adjustRightInd w:val="0"/>
        <w:rPr>
          <w:rFonts w:cs="Times New Roman"/>
        </w:rPr>
      </w:pPr>
    </w:p>
    <w:p w14:paraId="4AF94DB7" w14:textId="77777777" w:rsidR="002F0078" w:rsidRDefault="002F0078" w:rsidP="00561167">
      <w:pPr>
        <w:autoSpaceDE w:val="0"/>
        <w:autoSpaceDN w:val="0"/>
        <w:adjustRightInd w:val="0"/>
        <w:rPr>
          <w:rFonts w:cs="Times New Roman"/>
        </w:rPr>
      </w:pPr>
    </w:p>
    <w:p w14:paraId="595264A3" w14:textId="77777777" w:rsidR="00561167" w:rsidRDefault="00561167" w:rsidP="00561167">
      <w:pPr>
        <w:autoSpaceDE w:val="0"/>
        <w:autoSpaceDN w:val="0"/>
        <w:adjustRightInd w:val="0"/>
        <w:rPr>
          <w:rFonts w:cs="Times New Roman"/>
        </w:rPr>
      </w:pPr>
    </w:p>
    <w:p w14:paraId="48EBA71E" w14:textId="77777777" w:rsidR="00561167" w:rsidRPr="00372AFF" w:rsidRDefault="00561167" w:rsidP="00561167">
      <w:pPr>
        <w:rPr>
          <w:b/>
          <w:bCs/>
        </w:rPr>
      </w:pPr>
      <w:r>
        <w:rPr>
          <w:b/>
          <w:bCs/>
        </w:rPr>
        <w:t xml:space="preserve">14. </w:t>
      </w:r>
      <w:r w:rsidRPr="00372AFF">
        <w:rPr>
          <w:b/>
          <w:bCs/>
        </w:rPr>
        <w:t>Annual Debt Service Requirements</w:t>
      </w:r>
    </w:p>
    <w:p w14:paraId="137704F0" w14:textId="77777777" w:rsidR="00561167" w:rsidRPr="00372AFF" w:rsidRDefault="00561167" w:rsidP="00561167">
      <w:r w:rsidRPr="00372AFF">
        <w:t>Future debt service requirements at June 30, 201</w:t>
      </w:r>
      <w:r>
        <w:t>7</w:t>
      </w:r>
      <w:r w:rsidRPr="00372AFF">
        <w:t xml:space="preserve"> are as follows.</w:t>
      </w:r>
    </w:p>
    <w:p w14:paraId="58053943" w14:textId="77777777" w:rsidR="00561167" w:rsidRDefault="00561167" w:rsidP="00561167">
      <w:pPr>
        <w:rPr>
          <w:highlight w:val="yellow"/>
        </w:rPr>
      </w:pPr>
    </w:p>
    <w:bookmarkStart w:id="27" w:name="_MON_1445865202"/>
    <w:bookmarkEnd w:id="27"/>
    <w:p w14:paraId="5B72A385" w14:textId="77777777" w:rsidR="00561167" w:rsidRPr="00A81E4D" w:rsidRDefault="00561167" w:rsidP="002F0078">
      <w:pPr>
        <w:jc w:val="center"/>
      </w:pPr>
      <w:r w:rsidRPr="00A81E4D">
        <w:object w:dxaOrig="5765" w:dyaOrig="3505" w14:anchorId="29C128F7">
          <v:shape id="_x0000_i1040" type="#_x0000_t75" style="width:324pt;height:230.25pt" o:ole="">
            <v:imagedata r:id="rId53" o:title=""/>
          </v:shape>
          <o:OLEObject Type="Embed" ProgID="Excel.Sheet.12" ShapeID="_x0000_i1040" DrawAspect="Content" ObjectID="_1577870064" r:id="rId54"/>
        </w:object>
      </w:r>
    </w:p>
    <w:p w14:paraId="57F7F989" w14:textId="77777777" w:rsidR="00561167" w:rsidRPr="00A81E4D" w:rsidRDefault="00561167" w:rsidP="00561167"/>
    <w:p w14:paraId="5F2CDCE7" w14:textId="77777777" w:rsidR="00561167" w:rsidRDefault="00561167" w:rsidP="00561167"/>
    <w:p w14:paraId="5723657B" w14:textId="77777777" w:rsidR="00561167" w:rsidRPr="00A81E4D" w:rsidRDefault="00561167" w:rsidP="00561167"/>
    <w:p w14:paraId="01559DAF" w14:textId="1EBAC67A" w:rsidR="00561167" w:rsidRDefault="00561167" w:rsidP="00561167">
      <w:pPr>
        <w:rPr>
          <w:b/>
          <w:bCs/>
        </w:rPr>
      </w:pPr>
      <w:r w:rsidRPr="005F5F2C">
        <w:rPr>
          <w:b/>
          <w:bCs/>
        </w:rPr>
        <w:t>15. Schedule of Long Term</w:t>
      </w:r>
      <w:r w:rsidRPr="005F5F2C">
        <w:rPr>
          <w:rStyle w:val="CommentReference"/>
        </w:rPr>
        <w:commentReference w:id="28"/>
      </w:r>
      <w:r w:rsidRPr="005F5F2C">
        <w:rPr>
          <w:b/>
          <w:bCs/>
        </w:rPr>
        <w:t xml:space="preserve"> Liabilities</w:t>
      </w:r>
    </w:p>
    <w:p w14:paraId="4C8EF30D" w14:textId="77777777" w:rsidR="00561167" w:rsidRDefault="00561167" w:rsidP="00561167">
      <w:pPr>
        <w:rPr>
          <w:b/>
          <w:bCs/>
        </w:rPr>
      </w:pPr>
    </w:p>
    <w:bookmarkStart w:id="29" w:name="_MON_1445374658"/>
    <w:bookmarkEnd w:id="29"/>
    <w:p w14:paraId="230F2792" w14:textId="49717B66" w:rsidR="00561167" w:rsidRDefault="00DE40F2" w:rsidP="002F0078">
      <w:pPr>
        <w:jc w:val="center"/>
        <w:rPr>
          <w:b/>
          <w:bCs/>
        </w:rPr>
      </w:pPr>
      <w:r w:rsidRPr="00C41CE8">
        <w:object w:dxaOrig="9202" w:dyaOrig="2007" w14:anchorId="724D5130">
          <v:shape id="_x0000_i1041" type="#_x0000_t75" style="width:461.25pt;height:140.25pt" o:ole="">
            <v:imagedata r:id="rId55" o:title=""/>
          </v:shape>
          <o:OLEObject Type="Embed" ProgID="Excel.Sheet.12" ShapeID="_x0000_i1041" DrawAspect="Content" ObjectID="_1577870065" r:id="rId56"/>
        </w:object>
      </w:r>
    </w:p>
    <w:p w14:paraId="051E0CD4" w14:textId="2C2CA463" w:rsidR="00561167" w:rsidRDefault="00561167" w:rsidP="00561167">
      <w:pPr>
        <w:rPr>
          <w:b/>
          <w:bCs/>
        </w:rPr>
      </w:pPr>
    </w:p>
    <w:p w14:paraId="6CDEC5CE" w14:textId="15C09E61" w:rsidR="00561167" w:rsidRDefault="00561167" w:rsidP="00561167">
      <w:pPr>
        <w:rPr>
          <w:highlight w:val="yellow"/>
        </w:rPr>
      </w:pPr>
    </w:p>
    <w:p w14:paraId="19889F6B" w14:textId="3D746FA1" w:rsidR="002F0078" w:rsidRDefault="002F0078" w:rsidP="00561167">
      <w:pPr>
        <w:rPr>
          <w:highlight w:val="yellow"/>
        </w:rPr>
      </w:pPr>
    </w:p>
    <w:p w14:paraId="36EB4F5A" w14:textId="02B78788" w:rsidR="002F0078" w:rsidRDefault="002F0078" w:rsidP="00561167">
      <w:pPr>
        <w:rPr>
          <w:highlight w:val="yellow"/>
        </w:rPr>
      </w:pPr>
    </w:p>
    <w:p w14:paraId="55D72CF5" w14:textId="7EA034D7" w:rsidR="002F0078" w:rsidRDefault="002F0078" w:rsidP="00561167">
      <w:pPr>
        <w:rPr>
          <w:highlight w:val="yellow"/>
        </w:rPr>
      </w:pPr>
    </w:p>
    <w:p w14:paraId="631823B9" w14:textId="0AADDD9B" w:rsidR="002F0078" w:rsidRDefault="002F0078" w:rsidP="00561167">
      <w:pPr>
        <w:rPr>
          <w:highlight w:val="yellow"/>
        </w:rPr>
      </w:pPr>
    </w:p>
    <w:p w14:paraId="4B1B306A" w14:textId="55F097C8" w:rsidR="002F0078" w:rsidRDefault="002F0078" w:rsidP="00561167">
      <w:pPr>
        <w:rPr>
          <w:highlight w:val="yellow"/>
        </w:rPr>
      </w:pPr>
    </w:p>
    <w:p w14:paraId="6BB2D630" w14:textId="139C7A35" w:rsidR="002F0078" w:rsidRPr="00C13603" w:rsidRDefault="002F0078" w:rsidP="00561167">
      <w:pPr>
        <w:rPr>
          <w:highlight w:val="yellow"/>
        </w:rPr>
      </w:pPr>
    </w:p>
    <w:p w14:paraId="395750CB" w14:textId="77777777" w:rsidR="00561167" w:rsidRDefault="00561167" w:rsidP="00561167">
      <w:pPr>
        <w:rPr>
          <w:b/>
          <w:bCs/>
        </w:rPr>
      </w:pPr>
      <w:r>
        <w:rPr>
          <w:b/>
          <w:bCs/>
        </w:rPr>
        <w:t>16. Pension Liability</w:t>
      </w:r>
    </w:p>
    <w:p w14:paraId="65C35762" w14:textId="77777777" w:rsidR="00561167" w:rsidRPr="00A23855" w:rsidRDefault="00561167" w:rsidP="00561167">
      <w:pPr>
        <w:rPr>
          <w:bCs/>
        </w:rPr>
      </w:pPr>
      <w:r w:rsidRPr="00A23855">
        <w:rPr>
          <w:bCs/>
        </w:rPr>
        <w:t>Pension liabilities reported as of June 30, 201</w:t>
      </w:r>
      <w:r>
        <w:rPr>
          <w:bCs/>
        </w:rPr>
        <w:t>7</w:t>
      </w:r>
      <w:r w:rsidRPr="00A23855">
        <w:rPr>
          <w:bCs/>
        </w:rPr>
        <w:t xml:space="preserve"> consists of the following:</w:t>
      </w:r>
    </w:p>
    <w:p w14:paraId="11FC2A10" w14:textId="77777777" w:rsidR="00561167" w:rsidRDefault="00561167" w:rsidP="00561167">
      <w:pPr>
        <w:rPr>
          <w:b/>
          <w:bCs/>
        </w:rPr>
      </w:pPr>
    </w:p>
    <w:p w14:paraId="11E66B07" w14:textId="77777777" w:rsidR="00561167" w:rsidRDefault="00561167" w:rsidP="00561167">
      <w:pPr>
        <w:rPr>
          <w:b/>
          <w:bCs/>
        </w:rPr>
      </w:pPr>
    </w:p>
    <w:bookmarkStart w:id="30" w:name="_MON_1520763725"/>
    <w:bookmarkEnd w:id="30"/>
    <w:p w14:paraId="4FA49C65" w14:textId="77777777" w:rsidR="00561167" w:rsidRDefault="00561167" w:rsidP="00561167">
      <w:pPr>
        <w:jc w:val="center"/>
        <w:rPr>
          <w:b/>
          <w:bCs/>
        </w:rPr>
      </w:pPr>
      <w:r w:rsidRPr="00F4598C">
        <w:rPr>
          <w:rFonts w:cs="Times New Roman"/>
        </w:rPr>
        <w:object w:dxaOrig="3749" w:dyaOrig="2831" w14:anchorId="1B3086E4">
          <v:shape id="_x0000_i1042" type="#_x0000_t75" style="width:187.5pt;height:2in" o:ole="">
            <v:imagedata r:id="rId57" o:title=""/>
          </v:shape>
          <o:OLEObject Type="Embed" ProgID="Excel.Sheet.12" ShapeID="_x0000_i1042" DrawAspect="Content" ObjectID="_1577870066" r:id="rId58"/>
        </w:object>
      </w:r>
    </w:p>
    <w:p w14:paraId="7910B903" w14:textId="77777777" w:rsidR="00561167" w:rsidRDefault="00561167" w:rsidP="00561167">
      <w:pPr>
        <w:rPr>
          <w:b/>
          <w:bCs/>
        </w:rPr>
      </w:pPr>
    </w:p>
    <w:p w14:paraId="11969EA1" w14:textId="77777777" w:rsidR="00561167" w:rsidRDefault="00561167" w:rsidP="00561167">
      <w:pPr>
        <w:rPr>
          <w:b/>
          <w:bCs/>
        </w:rPr>
      </w:pPr>
    </w:p>
    <w:p w14:paraId="5A5047C0" w14:textId="77777777" w:rsidR="00561167" w:rsidRDefault="00561167" w:rsidP="00561167">
      <w:pPr>
        <w:rPr>
          <w:b/>
          <w:bCs/>
        </w:rPr>
      </w:pPr>
    </w:p>
    <w:p w14:paraId="54DD729B" w14:textId="77777777" w:rsidR="00561167" w:rsidRDefault="00561167" w:rsidP="00561167">
      <w:pPr>
        <w:rPr>
          <w:b/>
          <w:bCs/>
        </w:rPr>
      </w:pPr>
      <w:r>
        <w:rPr>
          <w:b/>
          <w:bCs/>
        </w:rPr>
        <w:t>17. Retirement</w:t>
      </w:r>
      <w:r w:rsidRPr="00EA0BB9">
        <w:rPr>
          <w:b/>
          <w:bCs/>
        </w:rPr>
        <w:t xml:space="preserve"> Plans</w:t>
      </w:r>
    </w:p>
    <w:p w14:paraId="4E8286B0" w14:textId="77777777" w:rsidR="00561167" w:rsidRPr="0044416C" w:rsidRDefault="00561167" w:rsidP="00561167">
      <w:pPr>
        <w:rPr>
          <w:b/>
          <w:bCs/>
        </w:rPr>
      </w:pPr>
      <w:r>
        <w:rPr>
          <w:b/>
          <w:bCs/>
        </w:rPr>
        <w:br/>
      </w:r>
      <w:r w:rsidRPr="007E0E92">
        <w:rPr>
          <w:b/>
          <w:bCs/>
          <w:u w:val="single"/>
        </w:rPr>
        <w:t>A. General</w:t>
      </w:r>
    </w:p>
    <w:p w14:paraId="0075FABD" w14:textId="77777777" w:rsidR="00561167" w:rsidRDefault="00561167" w:rsidP="00561167">
      <w:pPr>
        <w:rPr>
          <w:lang w:val="en"/>
        </w:rPr>
      </w:pPr>
      <w:r w:rsidRPr="00E647C8">
        <w:t xml:space="preserve">The </w:t>
      </w:r>
      <w:r>
        <w:t>College</w:t>
      </w:r>
      <w:r w:rsidRPr="00E647C8">
        <w:t xml:space="preserve"> offers </w:t>
      </w:r>
      <w:r>
        <w:t>three</w:t>
      </w:r>
      <w:r w:rsidRPr="00E647C8">
        <w:t xml:space="preserve"> contributory pension plans</w:t>
      </w:r>
      <w:r>
        <w:t xml:space="preserve">.  The </w:t>
      </w:r>
      <w:r w:rsidRPr="00E647C8">
        <w:t>Washington State Public Employees Retirement System (PERS)</w:t>
      </w:r>
      <w:r>
        <w:t xml:space="preserve"> and Teachers Retirement System (TRS)</w:t>
      </w:r>
      <w:r w:rsidRPr="00E647C8">
        <w:t xml:space="preserve"> plan</w:t>
      </w:r>
      <w:r>
        <w:t xml:space="preserve">s are </w:t>
      </w:r>
      <w:r w:rsidRPr="005C7375">
        <w:t>cost sharing multiple employer defined benefit pension plans administered by the State of Washington Department of Retire</w:t>
      </w:r>
      <w:r w:rsidRPr="00E647C8">
        <w:t>ment Services</w:t>
      </w:r>
      <w:r>
        <w:t xml:space="preserve">.  </w:t>
      </w:r>
      <w:r w:rsidRPr="00C22658">
        <w:t xml:space="preserve">The </w:t>
      </w:r>
      <w:r w:rsidRPr="00C22658">
        <w:rPr>
          <w:rStyle w:val="Strong"/>
          <w:b w:val="0"/>
          <w:lang w:val="en"/>
        </w:rPr>
        <w:t>State Board Retirement Plan (SBRP)</w:t>
      </w:r>
      <w:r w:rsidRPr="00C22658">
        <w:rPr>
          <w:lang w:val="en"/>
        </w:rPr>
        <w:t xml:space="preserve"> is a </w:t>
      </w:r>
      <w:r>
        <w:rPr>
          <w:lang w:val="en"/>
        </w:rPr>
        <w:t xml:space="preserve">multiple employer </w:t>
      </w:r>
      <w:r w:rsidRPr="00C22658">
        <w:rPr>
          <w:lang w:val="en"/>
        </w:rPr>
        <w:t>defin</w:t>
      </w:r>
      <w:r>
        <w:rPr>
          <w:lang w:val="en"/>
        </w:rPr>
        <w:t>ed contribution plan for the faculty and exempt administrative and professional staff of the state’s public community and technical colleges.  The plan includes supplemental payment, when required.  The plan is administered by the State Board for Community and Technical Colleges (SBCTC).</w:t>
      </w:r>
    </w:p>
    <w:p w14:paraId="4920CE3F" w14:textId="77777777" w:rsidR="00561167" w:rsidRDefault="00561167" w:rsidP="00561167">
      <w:pPr>
        <w:rPr>
          <w:lang w:val="en"/>
        </w:rPr>
      </w:pPr>
    </w:p>
    <w:p w14:paraId="0A951976" w14:textId="77777777" w:rsidR="00561167" w:rsidRDefault="00561167" w:rsidP="00561167">
      <w:pPr>
        <w:rPr>
          <w:lang w:val="en"/>
        </w:rPr>
      </w:pPr>
      <w:r w:rsidRPr="00F85E09">
        <w:rPr>
          <w:lang w:val="en"/>
        </w:rPr>
        <w:t>For FY2017, the payroll for the College’s employees was $7,968,133 for PERS, $308,347 for TRS, and $15,340,525 for SBRP. Total covered payroll was $23,617,005.</w:t>
      </w:r>
    </w:p>
    <w:p w14:paraId="14FE8941" w14:textId="77777777" w:rsidR="00561167" w:rsidRDefault="00561167" w:rsidP="00561167">
      <w:pPr>
        <w:rPr>
          <w:lang w:val="en"/>
        </w:rPr>
      </w:pPr>
    </w:p>
    <w:p w14:paraId="03E43DBC" w14:textId="77777777" w:rsidR="00561167" w:rsidRPr="00A23855" w:rsidRDefault="00561167" w:rsidP="00561167">
      <w:pPr>
        <w:rPr>
          <w:b/>
          <w:lang w:val="en"/>
        </w:rPr>
      </w:pPr>
      <w:r w:rsidRPr="00A23855">
        <w:rPr>
          <w:b/>
          <w:lang w:val="en"/>
        </w:rPr>
        <w:t>Basis of Accounting</w:t>
      </w:r>
    </w:p>
    <w:p w14:paraId="662114D6" w14:textId="77777777" w:rsidR="00561167" w:rsidRPr="00534FC6" w:rsidRDefault="00561167" w:rsidP="00561167">
      <w:pPr>
        <w:rPr>
          <w:lang w:val="en"/>
        </w:rPr>
      </w:pPr>
      <w:r w:rsidRPr="00534FC6">
        <w:rPr>
          <w:lang w:val="en"/>
        </w:rPr>
        <w:t>Pension plans administered by the state are accounted for using the accrual basis of accounting. Under the accrual basis of accounting, employee and employer contributions are recognized in the period in which employee services are performed; investment gains and losses are recognized as incurred; and benefits and refunds are recognized when due and payable in accordance with the terms of the applicable plan. For purposes of measuring the net pension liability, deferred outflows of resources and deferred inflows of resources related to pensions, and pension expense, information about the fiduciary net position of all plans and additions to/deductions from all plan fiduciary net position have been determined in all material respects on the same basis as they are reported by the plans.</w:t>
      </w:r>
    </w:p>
    <w:p w14:paraId="1E2930C8" w14:textId="77777777" w:rsidR="00561167" w:rsidRPr="00534FC6" w:rsidRDefault="00561167" w:rsidP="00561167">
      <w:pPr>
        <w:rPr>
          <w:lang w:val="en"/>
        </w:rPr>
      </w:pPr>
    </w:p>
    <w:p w14:paraId="2D4136BC" w14:textId="77F18F8B" w:rsidR="00561167" w:rsidRPr="00534FC6" w:rsidRDefault="00561167" w:rsidP="00561167">
      <w:pPr>
        <w:rPr>
          <w:lang w:val="en"/>
        </w:rPr>
      </w:pPr>
      <w:r w:rsidRPr="00534FC6">
        <w:rPr>
          <w:lang w:val="en"/>
        </w:rPr>
        <w:lastRenderedPageBreak/>
        <w:t>The following table represents the aggregate pension amounts for all plans subject to the requirements of GASB Statement No. 68</w:t>
      </w:r>
      <w:r w:rsidR="001430FA">
        <w:rPr>
          <w:lang w:val="en"/>
        </w:rPr>
        <w:t xml:space="preserve"> and No. 73</w:t>
      </w:r>
      <w:r w:rsidRPr="00534FC6">
        <w:rPr>
          <w:lang w:val="en"/>
        </w:rPr>
        <w:t xml:space="preserve"> for</w:t>
      </w:r>
      <w:r>
        <w:rPr>
          <w:lang w:val="en"/>
        </w:rPr>
        <w:t xml:space="preserve"> Skagit Valley </w:t>
      </w:r>
      <w:r w:rsidRPr="00534FC6">
        <w:rPr>
          <w:lang w:val="en"/>
        </w:rPr>
        <w:t>College, for fiscal year 201</w:t>
      </w:r>
      <w:r>
        <w:rPr>
          <w:lang w:val="en"/>
        </w:rPr>
        <w:t>7</w:t>
      </w:r>
      <w:r w:rsidRPr="00534FC6">
        <w:rPr>
          <w:lang w:val="en"/>
        </w:rPr>
        <w:t>:</w:t>
      </w:r>
    </w:p>
    <w:p w14:paraId="39DD881D" w14:textId="77777777" w:rsidR="00561167" w:rsidRDefault="00561167" w:rsidP="00561167">
      <w:pPr>
        <w:rPr>
          <w:lang w:val="en"/>
        </w:rPr>
      </w:pPr>
    </w:p>
    <w:tbl>
      <w:tblPr>
        <w:tblW w:w="6900" w:type="dxa"/>
        <w:jc w:val="center"/>
        <w:tblLook w:val="04A0" w:firstRow="1" w:lastRow="0" w:firstColumn="1" w:lastColumn="0" w:noHBand="0" w:noVBand="1"/>
      </w:tblPr>
      <w:tblGrid>
        <w:gridCol w:w="4791"/>
        <w:gridCol w:w="2109"/>
      </w:tblGrid>
      <w:tr w:rsidR="00561167" w:rsidRPr="00624803" w14:paraId="7146903E" w14:textId="77777777" w:rsidTr="002F0078">
        <w:trPr>
          <w:trHeight w:val="435"/>
          <w:jc w:val="center"/>
        </w:trPr>
        <w:tc>
          <w:tcPr>
            <w:tcW w:w="6900" w:type="dxa"/>
            <w:gridSpan w:val="2"/>
            <w:tcBorders>
              <w:top w:val="nil"/>
              <w:left w:val="nil"/>
              <w:bottom w:val="nil"/>
              <w:right w:val="nil"/>
            </w:tcBorders>
            <w:shd w:val="clear" w:color="auto" w:fill="auto"/>
            <w:noWrap/>
            <w:vAlign w:val="center"/>
            <w:hideMark/>
          </w:tcPr>
          <w:p w14:paraId="02BB94C2" w14:textId="77777777" w:rsidR="00561167" w:rsidRPr="00624803" w:rsidRDefault="00561167" w:rsidP="00561167">
            <w:pPr>
              <w:jc w:val="center"/>
              <w:rPr>
                <w:rFonts w:ascii="Calibri" w:eastAsia="Times New Roman" w:hAnsi="Calibri" w:cs="Times New Roman"/>
                <w:b/>
                <w:bCs/>
                <w:color w:val="000000"/>
                <w:u w:val="single"/>
              </w:rPr>
            </w:pPr>
            <w:r w:rsidRPr="00977E82">
              <w:rPr>
                <w:rFonts w:ascii="Calibri" w:eastAsia="Times New Roman" w:hAnsi="Calibri" w:cs="Times New Roman"/>
                <w:b/>
                <w:bCs/>
                <w:color w:val="000000"/>
                <w:u w:val="single"/>
              </w:rPr>
              <w:t>Aggregate Pension Amounts - All Plans</w:t>
            </w:r>
          </w:p>
        </w:tc>
      </w:tr>
      <w:tr w:rsidR="00561167" w:rsidRPr="00624803" w14:paraId="64F03690" w14:textId="77777777" w:rsidTr="002F0078">
        <w:trPr>
          <w:trHeight w:val="435"/>
          <w:jc w:val="center"/>
        </w:trPr>
        <w:tc>
          <w:tcPr>
            <w:tcW w:w="4791" w:type="dxa"/>
            <w:tcBorders>
              <w:top w:val="nil"/>
              <w:left w:val="nil"/>
              <w:bottom w:val="nil"/>
              <w:right w:val="nil"/>
            </w:tcBorders>
            <w:shd w:val="clear" w:color="auto" w:fill="auto"/>
            <w:noWrap/>
            <w:vAlign w:val="center"/>
            <w:hideMark/>
          </w:tcPr>
          <w:p w14:paraId="3B189C74" w14:textId="77777777" w:rsidR="00561167" w:rsidRPr="00624803" w:rsidRDefault="00561167" w:rsidP="00561167">
            <w:pPr>
              <w:jc w:val="right"/>
              <w:rPr>
                <w:rFonts w:ascii="Calibri" w:eastAsia="Times New Roman" w:hAnsi="Calibri" w:cs="Times New Roman"/>
                <w:color w:val="000000"/>
                <w:sz w:val="22"/>
                <w:szCs w:val="22"/>
              </w:rPr>
            </w:pPr>
            <w:r w:rsidRPr="00624803">
              <w:rPr>
                <w:rFonts w:ascii="Calibri" w:eastAsia="Times New Roman" w:hAnsi="Calibri" w:cs="Times New Roman"/>
                <w:color w:val="000000"/>
                <w:sz w:val="22"/>
                <w:szCs w:val="22"/>
              </w:rPr>
              <w:t>Pension liabilities</w:t>
            </w:r>
          </w:p>
        </w:tc>
        <w:tc>
          <w:tcPr>
            <w:tcW w:w="2109" w:type="dxa"/>
            <w:tcBorders>
              <w:top w:val="nil"/>
              <w:left w:val="nil"/>
              <w:bottom w:val="nil"/>
              <w:right w:val="nil"/>
            </w:tcBorders>
            <w:shd w:val="clear" w:color="auto" w:fill="auto"/>
            <w:noWrap/>
            <w:vAlign w:val="center"/>
            <w:hideMark/>
          </w:tcPr>
          <w:p w14:paraId="3A36D759" w14:textId="77777777" w:rsidR="00561167" w:rsidRPr="00624803" w:rsidRDefault="00561167" w:rsidP="00561167">
            <w:pPr>
              <w:rPr>
                <w:rFonts w:ascii="Calibri" w:eastAsia="Times New Roman" w:hAnsi="Calibri" w:cs="Times New Roman"/>
                <w:color w:val="000000"/>
                <w:sz w:val="22"/>
                <w:szCs w:val="22"/>
              </w:rPr>
            </w:pPr>
            <w:r w:rsidRPr="00624803">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(10,974,447)</w:t>
            </w:r>
            <w:r w:rsidRPr="00624803">
              <w:rPr>
                <w:rFonts w:ascii="Calibri" w:eastAsia="Times New Roman" w:hAnsi="Calibri" w:cs="Times New Roman"/>
                <w:color w:val="000000"/>
                <w:sz w:val="22"/>
                <w:szCs w:val="22"/>
              </w:rPr>
              <w:t xml:space="preserve">         </w:t>
            </w:r>
          </w:p>
        </w:tc>
      </w:tr>
      <w:tr w:rsidR="00561167" w:rsidRPr="00624803" w14:paraId="03E2EBDA" w14:textId="77777777" w:rsidTr="002F0078">
        <w:trPr>
          <w:trHeight w:val="435"/>
          <w:jc w:val="center"/>
        </w:trPr>
        <w:tc>
          <w:tcPr>
            <w:tcW w:w="4791" w:type="dxa"/>
            <w:tcBorders>
              <w:top w:val="nil"/>
              <w:left w:val="nil"/>
              <w:bottom w:val="nil"/>
              <w:right w:val="nil"/>
            </w:tcBorders>
            <w:shd w:val="clear" w:color="auto" w:fill="auto"/>
            <w:noWrap/>
            <w:vAlign w:val="center"/>
            <w:hideMark/>
          </w:tcPr>
          <w:p w14:paraId="6E6A2C38" w14:textId="77777777" w:rsidR="00561167" w:rsidRPr="00624803" w:rsidRDefault="00561167" w:rsidP="00561167">
            <w:pPr>
              <w:jc w:val="right"/>
              <w:rPr>
                <w:rFonts w:ascii="Calibri" w:eastAsia="Times New Roman" w:hAnsi="Calibri" w:cs="Times New Roman"/>
                <w:color w:val="000000"/>
                <w:sz w:val="22"/>
                <w:szCs w:val="22"/>
              </w:rPr>
            </w:pPr>
            <w:r w:rsidRPr="00624803">
              <w:rPr>
                <w:rFonts w:ascii="Calibri" w:eastAsia="Times New Roman" w:hAnsi="Calibri" w:cs="Times New Roman"/>
                <w:color w:val="000000"/>
                <w:sz w:val="22"/>
                <w:szCs w:val="22"/>
              </w:rPr>
              <w:t>Deferred outflows of resources related to pensions</w:t>
            </w:r>
          </w:p>
        </w:tc>
        <w:tc>
          <w:tcPr>
            <w:tcW w:w="2109" w:type="dxa"/>
            <w:tcBorders>
              <w:top w:val="nil"/>
              <w:left w:val="nil"/>
              <w:bottom w:val="nil"/>
              <w:right w:val="nil"/>
            </w:tcBorders>
            <w:shd w:val="clear" w:color="auto" w:fill="auto"/>
            <w:noWrap/>
            <w:vAlign w:val="center"/>
            <w:hideMark/>
          </w:tcPr>
          <w:p w14:paraId="7A2F4E7C" w14:textId="77777777" w:rsidR="00561167" w:rsidRPr="00624803" w:rsidRDefault="00561167" w:rsidP="00561167">
            <w:pPr>
              <w:rPr>
                <w:rFonts w:ascii="Calibri" w:eastAsia="Times New Roman" w:hAnsi="Calibri" w:cs="Times New Roman"/>
                <w:color w:val="000000"/>
                <w:sz w:val="22"/>
                <w:szCs w:val="22"/>
              </w:rPr>
            </w:pPr>
            <w:r w:rsidRPr="00624803">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1,866,421</w:t>
            </w:r>
            <w:r w:rsidRPr="00624803">
              <w:rPr>
                <w:rFonts w:ascii="Calibri" w:eastAsia="Times New Roman" w:hAnsi="Calibri" w:cs="Times New Roman"/>
                <w:color w:val="000000"/>
                <w:sz w:val="22"/>
                <w:szCs w:val="22"/>
              </w:rPr>
              <w:t xml:space="preserve">         </w:t>
            </w:r>
          </w:p>
        </w:tc>
      </w:tr>
      <w:tr w:rsidR="00561167" w:rsidRPr="00624803" w14:paraId="1FCEBF5D" w14:textId="77777777" w:rsidTr="002F0078">
        <w:trPr>
          <w:trHeight w:val="435"/>
          <w:jc w:val="center"/>
        </w:trPr>
        <w:tc>
          <w:tcPr>
            <w:tcW w:w="4791" w:type="dxa"/>
            <w:tcBorders>
              <w:top w:val="nil"/>
              <w:left w:val="nil"/>
              <w:bottom w:val="nil"/>
              <w:right w:val="nil"/>
            </w:tcBorders>
            <w:shd w:val="clear" w:color="auto" w:fill="auto"/>
            <w:noWrap/>
            <w:vAlign w:val="center"/>
            <w:hideMark/>
          </w:tcPr>
          <w:p w14:paraId="337EC6F7" w14:textId="77777777" w:rsidR="00561167" w:rsidRPr="00624803" w:rsidRDefault="00561167" w:rsidP="00561167">
            <w:pPr>
              <w:jc w:val="right"/>
              <w:rPr>
                <w:rFonts w:ascii="Calibri" w:eastAsia="Times New Roman" w:hAnsi="Calibri" w:cs="Times New Roman"/>
                <w:color w:val="000000"/>
                <w:sz w:val="22"/>
                <w:szCs w:val="22"/>
              </w:rPr>
            </w:pPr>
            <w:r w:rsidRPr="00624803">
              <w:rPr>
                <w:rFonts w:ascii="Calibri" w:eastAsia="Times New Roman" w:hAnsi="Calibri" w:cs="Times New Roman"/>
                <w:color w:val="000000"/>
                <w:sz w:val="22"/>
                <w:szCs w:val="22"/>
              </w:rPr>
              <w:t>Deferred inflows of resources related to pensions</w:t>
            </w:r>
          </w:p>
        </w:tc>
        <w:tc>
          <w:tcPr>
            <w:tcW w:w="2109" w:type="dxa"/>
            <w:tcBorders>
              <w:top w:val="nil"/>
              <w:left w:val="nil"/>
              <w:bottom w:val="nil"/>
              <w:right w:val="nil"/>
            </w:tcBorders>
            <w:shd w:val="clear" w:color="auto" w:fill="auto"/>
            <w:noWrap/>
            <w:vAlign w:val="center"/>
            <w:hideMark/>
          </w:tcPr>
          <w:p w14:paraId="21A3B11F" w14:textId="77777777" w:rsidR="00561167" w:rsidRPr="00624803" w:rsidRDefault="00561167" w:rsidP="00561167">
            <w:pPr>
              <w:rPr>
                <w:rFonts w:ascii="Calibri" w:eastAsia="Times New Roman" w:hAnsi="Calibri" w:cs="Times New Roman"/>
                <w:color w:val="000000"/>
                <w:sz w:val="22"/>
                <w:szCs w:val="22"/>
              </w:rPr>
            </w:pPr>
            <w:r w:rsidRPr="00624803">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(912,422) </w:t>
            </w:r>
            <w:r w:rsidRPr="00624803">
              <w:rPr>
                <w:rFonts w:ascii="Calibri" w:eastAsia="Times New Roman" w:hAnsi="Calibri" w:cs="Times New Roman"/>
                <w:color w:val="000000"/>
                <w:sz w:val="22"/>
                <w:szCs w:val="22"/>
              </w:rPr>
              <w:t xml:space="preserve">         </w:t>
            </w:r>
          </w:p>
        </w:tc>
      </w:tr>
      <w:tr w:rsidR="00561167" w:rsidRPr="00624803" w14:paraId="456C45A3" w14:textId="77777777" w:rsidTr="002F0078">
        <w:trPr>
          <w:trHeight w:val="435"/>
          <w:jc w:val="center"/>
        </w:trPr>
        <w:tc>
          <w:tcPr>
            <w:tcW w:w="4791" w:type="dxa"/>
            <w:tcBorders>
              <w:top w:val="nil"/>
              <w:left w:val="nil"/>
              <w:bottom w:val="nil"/>
              <w:right w:val="nil"/>
            </w:tcBorders>
            <w:shd w:val="clear" w:color="auto" w:fill="auto"/>
            <w:noWrap/>
            <w:vAlign w:val="center"/>
            <w:hideMark/>
          </w:tcPr>
          <w:p w14:paraId="5990291A" w14:textId="77777777" w:rsidR="00561167" w:rsidRPr="00624803" w:rsidRDefault="00561167" w:rsidP="00561167">
            <w:pPr>
              <w:jc w:val="right"/>
              <w:rPr>
                <w:rFonts w:ascii="Calibri" w:eastAsia="Times New Roman" w:hAnsi="Calibri" w:cs="Times New Roman"/>
                <w:color w:val="000000"/>
                <w:sz w:val="22"/>
                <w:szCs w:val="22"/>
              </w:rPr>
            </w:pPr>
            <w:r w:rsidRPr="00624803">
              <w:rPr>
                <w:rFonts w:ascii="Calibri" w:eastAsia="Times New Roman" w:hAnsi="Calibri" w:cs="Times New Roman"/>
                <w:color w:val="000000"/>
                <w:sz w:val="22"/>
                <w:szCs w:val="22"/>
              </w:rPr>
              <w:t>Pension expense/expenditures</w:t>
            </w:r>
          </w:p>
        </w:tc>
        <w:tc>
          <w:tcPr>
            <w:tcW w:w="2109" w:type="dxa"/>
            <w:tcBorders>
              <w:top w:val="nil"/>
              <w:left w:val="nil"/>
              <w:bottom w:val="nil"/>
              <w:right w:val="nil"/>
            </w:tcBorders>
            <w:shd w:val="clear" w:color="auto" w:fill="auto"/>
            <w:noWrap/>
            <w:vAlign w:val="center"/>
            <w:hideMark/>
          </w:tcPr>
          <w:p w14:paraId="0A85ADE1" w14:textId="77777777" w:rsidR="00561167" w:rsidRPr="00811FEB"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$ 677,423</w:t>
            </w:r>
          </w:p>
        </w:tc>
      </w:tr>
    </w:tbl>
    <w:p w14:paraId="65B86131" w14:textId="77777777" w:rsidR="00561167" w:rsidRPr="005F7C4B" w:rsidRDefault="00561167" w:rsidP="00561167">
      <w:pPr>
        <w:rPr>
          <w:lang w:val="en"/>
        </w:rPr>
      </w:pPr>
    </w:p>
    <w:p w14:paraId="6D7592FA" w14:textId="77777777" w:rsidR="00561167" w:rsidRDefault="00561167" w:rsidP="00561167">
      <w:r>
        <w:t>As established in chapter 28B.10 RCW, eligible higher education state employees may participate in higher education retirement plans. These plans include a defined contribution plan administered by a third party with a supplemental defined benefit component (on a pay as you go basis) which is administered by the state. The College implemented Statement No. 73 of the Governmental Accounting Standards Board (GASB) Accounting and Financial Reporting for Pensions and Related Assets That Are Not within the Scope of GASB Statement 68, and Amendments to Certain Provisions of GASB Statements 67 and 68 for the fiscal year 2017 financial reporting. The College has elected to use the current fiscal year end as the measurement date for reporting net pension liabilities for the Higher Education Supplemental Retirement Plan in alignment with the State CAFR.</w:t>
      </w:r>
    </w:p>
    <w:p w14:paraId="52947C87" w14:textId="77777777" w:rsidR="00561167" w:rsidRDefault="00561167" w:rsidP="00561167">
      <w:pPr>
        <w:rPr>
          <w:highlight w:val="yellow"/>
        </w:rPr>
      </w:pPr>
    </w:p>
    <w:p w14:paraId="257A1CB0" w14:textId="77777777" w:rsidR="00561167" w:rsidRPr="00C13603" w:rsidRDefault="00561167" w:rsidP="00561167">
      <w:pPr>
        <w:rPr>
          <w:highlight w:val="yellow"/>
        </w:rPr>
      </w:pPr>
    </w:p>
    <w:p w14:paraId="58AB5704" w14:textId="77777777" w:rsidR="00561167" w:rsidRDefault="00561167" w:rsidP="00561167">
      <w:pPr>
        <w:rPr>
          <w:b/>
          <w:bCs/>
          <w:i/>
          <w:iCs/>
        </w:rPr>
      </w:pPr>
      <w:r w:rsidRPr="007E0E92">
        <w:rPr>
          <w:b/>
          <w:bCs/>
          <w:iCs/>
          <w:u w:val="single"/>
        </w:rPr>
        <w:t>B. College Participation in Plans Administered by the Department of Retirement Systems</w:t>
      </w:r>
    </w:p>
    <w:p w14:paraId="40360E71" w14:textId="77777777" w:rsidR="00561167" w:rsidRDefault="00561167" w:rsidP="00561167">
      <w:pPr>
        <w:rPr>
          <w:b/>
          <w:bCs/>
          <w:i/>
          <w:iCs/>
        </w:rPr>
      </w:pPr>
      <w:r w:rsidRPr="00423C1B">
        <w:rPr>
          <w:b/>
          <w:bCs/>
          <w:i/>
          <w:iCs/>
        </w:rPr>
        <w:t>PERS</w:t>
      </w:r>
      <w:r>
        <w:rPr>
          <w:b/>
          <w:bCs/>
          <w:i/>
          <w:iCs/>
        </w:rPr>
        <w:t xml:space="preserve"> and TRS</w:t>
      </w:r>
    </w:p>
    <w:p w14:paraId="74D4E4A8" w14:textId="77777777" w:rsidR="00561167" w:rsidRDefault="00561167" w:rsidP="00561167">
      <w:r w:rsidRPr="00476146">
        <w:rPr>
          <w:u w:val="single"/>
        </w:rPr>
        <w:t>Plan Description</w:t>
      </w:r>
      <w:r>
        <w:rPr>
          <w:u w:val="single"/>
        </w:rPr>
        <w:t>s</w:t>
      </w:r>
      <w:r w:rsidRPr="00423C1B">
        <w:t>. PERS Plan 1 provides retirement and disability benefits and minimum benefit increases to eligible nonacademic plan members hired prior to October 1, 1977. PERS Plans 2 and 3 provide retirement and disability benefits and a cost-of-living adjustment to eligible nonacademic plan members hired on or after October 1, 1977. Retirement benefits are vested after five years of eligible service. PERS Plan 3 has a defined contribution component that members may elect to self-direct as established by the Employee Retirement Benefits Board. PERS 3 defined benefit plan benefits are vested after an employee completes five year</w:t>
      </w:r>
      <w:r>
        <w:t>s</w:t>
      </w:r>
      <w:r w:rsidRPr="00423C1B">
        <w:t xml:space="preserve"> of eligible service. </w:t>
      </w:r>
    </w:p>
    <w:p w14:paraId="2654F88B" w14:textId="77777777" w:rsidR="00561167" w:rsidRDefault="00561167" w:rsidP="00561167"/>
    <w:p w14:paraId="24CFBB8C" w14:textId="77777777" w:rsidR="00561167" w:rsidRPr="00FD789A" w:rsidRDefault="00561167" w:rsidP="00561167">
      <w:pPr>
        <w:rPr>
          <w:rFonts w:cs="Times New Roman"/>
        </w:rPr>
      </w:pPr>
      <w:r w:rsidRPr="00FD789A">
        <w:rPr>
          <w:rFonts w:cs="Times New Roman"/>
        </w:rPr>
        <w:t xml:space="preserve">TRS Plan 3 provides retirement benefits to certain eligible faculty hired on or after October 1, 1977.  The plan includes both a defined benefit portion and a defined contribution portion.  The defined benefit portion is funded by employer contributions only.  Benefits are vested after an employee completes five or ten years of eligible service, depending on the employee’s age and service credit, and include an annual cost-of living adjustment.  The defined contribution component is fully funded by employee contributions and investment performance.  </w:t>
      </w:r>
    </w:p>
    <w:p w14:paraId="505AB589" w14:textId="77777777" w:rsidR="00561167" w:rsidRPr="00FD789A" w:rsidRDefault="00561167" w:rsidP="00561167">
      <w:pPr>
        <w:rPr>
          <w:rFonts w:cs="Times New Roman"/>
        </w:rPr>
      </w:pPr>
    </w:p>
    <w:p w14:paraId="42F33424" w14:textId="77777777" w:rsidR="00561167" w:rsidRPr="006B70BE" w:rsidRDefault="00561167" w:rsidP="00561167">
      <w:pPr>
        <w:rPr>
          <w:b/>
          <w:sz w:val="18"/>
          <w:szCs w:val="18"/>
          <w:u w:val="single"/>
        </w:rPr>
      </w:pPr>
      <w:r w:rsidRPr="00FD789A">
        <w:rPr>
          <w:rFonts w:cs="Times New Roman"/>
        </w:rPr>
        <w:t xml:space="preserve">The college also has </w:t>
      </w:r>
      <w:r>
        <w:rPr>
          <w:rFonts w:cs="Times New Roman"/>
        </w:rPr>
        <w:t xml:space="preserve">1 </w:t>
      </w:r>
      <w:r w:rsidRPr="00FD789A">
        <w:rPr>
          <w:rFonts w:cs="Times New Roman"/>
        </w:rPr>
        <w:t>faculty members with pre-existing eligibility who continue to participate in TRS 1 or 2.</w:t>
      </w:r>
    </w:p>
    <w:p w14:paraId="07242E16" w14:textId="77777777" w:rsidR="00561167" w:rsidRPr="00423C1B" w:rsidRDefault="00561167" w:rsidP="00561167"/>
    <w:p w14:paraId="1208AFC7" w14:textId="77777777" w:rsidR="00561167" w:rsidRDefault="00561167" w:rsidP="00561167">
      <w:r w:rsidRPr="00423C1B">
        <w:t xml:space="preserve">The authority to establish and amend benefit provisions resides with the legislature. PERS </w:t>
      </w:r>
      <w:r>
        <w:t xml:space="preserve">and TRS </w:t>
      </w:r>
      <w:r w:rsidRPr="00423C1B">
        <w:t>issue publicly available financial report</w:t>
      </w:r>
      <w:r>
        <w:t>s</w:t>
      </w:r>
      <w:r w:rsidRPr="00423C1B">
        <w:t xml:space="preserve"> that include financial statements and required supplementary information. The report may be obtained by writing to the Department of Retirement Systems, PO Box 48380, Olympia, Washington 98504-8380 or online at </w:t>
      </w:r>
      <w:hyperlink r:id="rId59" w:history="1">
        <w:r w:rsidRPr="007E5378">
          <w:rPr>
            <w:rStyle w:val="Hyperlink"/>
          </w:rPr>
          <w:t>http://www.drs.wa.gov/administration</w:t>
        </w:r>
      </w:hyperlink>
      <w:r w:rsidRPr="00423C1B">
        <w:t>.</w:t>
      </w:r>
    </w:p>
    <w:p w14:paraId="724C1817" w14:textId="77777777" w:rsidR="00561167" w:rsidRPr="00423C1B" w:rsidRDefault="00561167" w:rsidP="00561167"/>
    <w:p w14:paraId="6C453066" w14:textId="77777777" w:rsidR="00561167" w:rsidRPr="00616FEC" w:rsidRDefault="00561167" w:rsidP="00561167">
      <w:r>
        <w:rPr>
          <w:u w:val="single"/>
        </w:rPr>
        <w:t>Funding Policy</w:t>
      </w:r>
      <w:r>
        <w:t xml:space="preserve">. Each biennium, the state Pension Funding Council adopts PERS and TRS Plan 1 employer contribution rates, Plan 2 employer and employee contribution rates, and Plan 3 employer contribution rates. Employee contribution rates </w:t>
      </w:r>
      <w:r w:rsidRPr="00616FEC">
        <w:t xml:space="preserve">for PERS and TRS Plans 1 are established by statute.  </w:t>
      </w:r>
      <w:r>
        <w:t xml:space="preserve">By statute, </w:t>
      </w:r>
      <w:r w:rsidRPr="00616FEC">
        <w:t>PERS 3 employees may select among six contribution rate options, ranging from 5 to 15 percent.</w:t>
      </w:r>
    </w:p>
    <w:p w14:paraId="355EB79C" w14:textId="77777777" w:rsidR="00561167" w:rsidRPr="00423C1B" w:rsidRDefault="00561167" w:rsidP="00561167"/>
    <w:p w14:paraId="0DB6AD92" w14:textId="77777777" w:rsidR="00561167" w:rsidRDefault="00561167" w:rsidP="00561167">
      <w:r w:rsidRPr="00423C1B">
        <w:t xml:space="preserve">The required contribution rates expressed as a percentage of current year covered payroll are shown </w:t>
      </w:r>
      <w:r>
        <w:t>in the table below</w:t>
      </w:r>
      <w:r w:rsidRPr="00423C1B">
        <w:t xml:space="preserve">. The </w:t>
      </w:r>
      <w:r>
        <w:t>College</w:t>
      </w:r>
      <w:r w:rsidRPr="00423C1B">
        <w:t xml:space="preserve"> and the employees made </w:t>
      </w:r>
      <w:r>
        <w:t xml:space="preserve">100% of </w:t>
      </w:r>
      <w:r w:rsidRPr="00423C1B">
        <w:t>required contributions.</w:t>
      </w:r>
    </w:p>
    <w:p w14:paraId="342D81F9" w14:textId="77777777" w:rsidR="00561167" w:rsidRPr="00C13603" w:rsidRDefault="00561167" w:rsidP="00561167">
      <w:pPr>
        <w:rPr>
          <w:highlight w:val="yellow"/>
        </w:rPr>
      </w:pPr>
    </w:p>
    <w:p w14:paraId="50DFEF51" w14:textId="77777777" w:rsidR="00561167" w:rsidRPr="00C96C1C" w:rsidRDefault="00561167" w:rsidP="002F0078">
      <w:pPr>
        <w:jc w:val="center"/>
      </w:pPr>
      <w:r w:rsidRPr="00476146">
        <w:rPr>
          <w:bCs/>
          <w:iCs/>
          <w:u w:val="single"/>
        </w:rPr>
        <w:t>Contribution Rates and Required Contributions</w:t>
      </w:r>
      <w:r>
        <w:rPr>
          <w:bCs/>
          <w:iCs/>
          <w:u w:val="single"/>
        </w:rPr>
        <w:t xml:space="preserve">.  </w:t>
      </w:r>
      <w:r w:rsidRPr="001152F2">
        <w:t xml:space="preserve">The </w:t>
      </w:r>
      <w:r>
        <w:t>College</w:t>
      </w:r>
      <w:r w:rsidRPr="001152F2">
        <w:t>’s contribution rates and required contributions for the above retirement plans f</w:t>
      </w:r>
      <w:r>
        <w:t xml:space="preserve">or the years </w:t>
      </w:r>
      <w:r w:rsidRPr="00B800CC">
        <w:t>ending June 30</w:t>
      </w:r>
      <w:r w:rsidRPr="00155188">
        <w:t>, 201</w:t>
      </w:r>
      <w:r w:rsidRPr="00161741">
        <w:t>7</w:t>
      </w:r>
      <w:r w:rsidRPr="00155188">
        <w:t>, 201</w:t>
      </w:r>
      <w:r w:rsidRPr="00161741">
        <w:t>6</w:t>
      </w:r>
      <w:r w:rsidRPr="00155188">
        <w:t>, and 201</w:t>
      </w:r>
      <w:r w:rsidRPr="00161741">
        <w:t>5</w:t>
      </w:r>
      <w:r w:rsidRPr="00155188">
        <w:t xml:space="preserve"> are as follows.</w:t>
      </w:r>
      <w:r w:rsidRPr="00B800CC">
        <w:t xml:space="preserve"> </w:t>
      </w:r>
      <w:r>
        <w:br/>
      </w:r>
      <w:r>
        <w:br/>
      </w:r>
      <w:bookmarkStart w:id="31" w:name="_MON_1445865919"/>
      <w:bookmarkEnd w:id="31"/>
      <w:r w:rsidRPr="002A66AB">
        <w:object w:dxaOrig="7118" w:dyaOrig="3215" w14:anchorId="2FB39466">
          <v:shape id="_x0000_i1043" type="#_x0000_t75" style="width:352.5pt;height:180pt" o:ole="">
            <v:imagedata r:id="rId60" o:title=""/>
          </v:shape>
          <o:OLEObject Type="Embed" ProgID="Excel.Sheet.12" ShapeID="_x0000_i1043" DrawAspect="Content" ObjectID="_1577870067" r:id="rId61"/>
        </w:object>
      </w:r>
      <w:r>
        <w:br/>
      </w:r>
      <w:r>
        <w:br/>
      </w:r>
    </w:p>
    <w:p w14:paraId="29EA4EE9" w14:textId="77777777" w:rsidR="002F0078" w:rsidRDefault="002F0078" w:rsidP="00561167"/>
    <w:p w14:paraId="45E0127B" w14:textId="77777777" w:rsidR="002F0078" w:rsidRDefault="002F0078" w:rsidP="00561167"/>
    <w:p w14:paraId="39ECE9AB" w14:textId="0B6F3F67" w:rsidR="00561167" w:rsidRPr="00161741" w:rsidRDefault="00561167" w:rsidP="00561167">
      <w:r w:rsidRPr="00161741">
        <w:t>Required</w:t>
      </w:r>
      <w:r>
        <w:t>/Actual</w:t>
      </w:r>
      <w:r w:rsidRPr="00161741">
        <w:t xml:space="preserve"> Contributions</w:t>
      </w:r>
    </w:p>
    <w:bookmarkStart w:id="32" w:name="_MON_1469086501"/>
    <w:bookmarkEnd w:id="32"/>
    <w:p w14:paraId="50CD0688" w14:textId="77777777" w:rsidR="00561167" w:rsidRDefault="00561167" w:rsidP="002F0078">
      <w:pPr>
        <w:jc w:val="center"/>
      </w:pPr>
      <w:r w:rsidRPr="000E73B3">
        <w:object w:dxaOrig="9643" w:dyaOrig="3069" w14:anchorId="1750D00B">
          <v:shape id="_x0000_i1044" type="#_x0000_t75" style="width:461.25pt;height:194.25pt" o:ole="">
            <v:imagedata r:id="rId62" o:title=""/>
          </v:shape>
          <o:OLEObject Type="Embed" ProgID="Excel.Sheet.12" ShapeID="_x0000_i1044" DrawAspect="Content" ObjectID="_1577870068" r:id="rId63"/>
        </w:object>
      </w:r>
    </w:p>
    <w:p w14:paraId="64807F33" w14:textId="77777777" w:rsidR="00561167" w:rsidRDefault="00561167" w:rsidP="00561167">
      <w:pPr>
        <w:autoSpaceDE w:val="0"/>
        <w:autoSpaceDN w:val="0"/>
        <w:adjustRightInd w:val="0"/>
        <w:rPr>
          <w:rFonts w:cs="Times New Roman"/>
          <w:b/>
          <w:bCs/>
        </w:rPr>
      </w:pPr>
    </w:p>
    <w:p w14:paraId="309CA1AB" w14:textId="77777777" w:rsidR="00561167" w:rsidRPr="00B522BC" w:rsidRDefault="00561167" w:rsidP="00561167">
      <w:pPr>
        <w:autoSpaceDE w:val="0"/>
        <w:autoSpaceDN w:val="0"/>
        <w:adjustRightInd w:val="0"/>
        <w:rPr>
          <w:rFonts w:cs="Times New Roman"/>
          <w:b/>
          <w:bCs/>
        </w:rPr>
      </w:pPr>
      <w:r w:rsidRPr="00B522BC">
        <w:rPr>
          <w:rFonts w:cs="Times New Roman"/>
          <w:b/>
          <w:bCs/>
        </w:rPr>
        <w:t>Investments</w:t>
      </w:r>
    </w:p>
    <w:p w14:paraId="03F2E44F" w14:textId="77777777" w:rsidR="00561167" w:rsidRDefault="00561167" w:rsidP="00561167">
      <w:pPr>
        <w:autoSpaceDE w:val="0"/>
        <w:autoSpaceDN w:val="0"/>
        <w:adjustRightInd w:val="0"/>
        <w:rPr>
          <w:rFonts w:cs="Times New Roman"/>
        </w:rPr>
      </w:pPr>
      <w:r w:rsidRPr="00B522BC">
        <w:rPr>
          <w:rFonts w:cs="Times New Roman"/>
        </w:rPr>
        <w:t xml:space="preserve">The Washington State Investment Board (WSIB) has been authorized by statute as having investment management responsibility for the pension funds. The WSIB manages retirement fund assets to maximize return at a prudent level of risk. </w:t>
      </w:r>
    </w:p>
    <w:p w14:paraId="182D4D3E" w14:textId="77777777" w:rsidR="00561167" w:rsidRDefault="00561167" w:rsidP="00561167">
      <w:pPr>
        <w:autoSpaceDE w:val="0"/>
        <w:autoSpaceDN w:val="0"/>
        <w:adjustRightInd w:val="0"/>
        <w:rPr>
          <w:rFonts w:cs="Times New Roman"/>
        </w:rPr>
      </w:pPr>
    </w:p>
    <w:p w14:paraId="1CF91340" w14:textId="77777777" w:rsidR="00561167" w:rsidRPr="00B522BC" w:rsidRDefault="00561167" w:rsidP="00561167">
      <w:pPr>
        <w:autoSpaceDE w:val="0"/>
        <w:autoSpaceDN w:val="0"/>
        <w:adjustRightInd w:val="0"/>
        <w:rPr>
          <w:rFonts w:cs="Times New Roman"/>
        </w:rPr>
      </w:pPr>
      <w:r w:rsidRPr="00B522BC">
        <w:rPr>
          <w:rFonts w:cs="Times New Roman"/>
        </w:rPr>
        <w:t>Retirement funds are invested in the Commingled Trust Fund (CTF). Established on July 1, 1992, the CTF is a diversified pool of investments that invests in fixed income, public equity, private equity, real estate, and tangible assets. Investment decisions are made within the framework of a Strategic Asset Allocation Policy and a series of written WSIB adopted investment policies for the various asset classes in which the WSIB invests.</w:t>
      </w:r>
    </w:p>
    <w:p w14:paraId="1A643BEB" w14:textId="77777777" w:rsidR="00561167" w:rsidRDefault="00561167" w:rsidP="00561167">
      <w:pPr>
        <w:autoSpaceDE w:val="0"/>
        <w:autoSpaceDN w:val="0"/>
        <w:adjustRightInd w:val="0"/>
        <w:rPr>
          <w:rFonts w:cs="Times New Roman"/>
        </w:rPr>
      </w:pPr>
    </w:p>
    <w:p w14:paraId="58642B0B" w14:textId="180DDF93" w:rsidR="00561167" w:rsidRDefault="00561167" w:rsidP="00561167">
      <w:pPr>
        <w:autoSpaceDE w:val="0"/>
        <w:autoSpaceDN w:val="0"/>
        <w:adjustRightInd w:val="0"/>
        <w:rPr>
          <w:rFonts w:cs="Times New Roman"/>
        </w:rPr>
      </w:pPr>
      <w:r w:rsidRPr="000256C2">
        <w:rPr>
          <w:rFonts w:cs="Times New Roman"/>
        </w:rPr>
        <w:t xml:space="preserve">For the year ended June 30, 2016, the annual money-weighted rate of return on the pension investments, net of pension plan expenses are as </w:t>
      </w:r>
      <w:commentRangeStart w:id="33"/>
      <w:r w:rsidRPr="000256C2">
        <w:rPr>
          <w:rFonts w:cs="Times New Roman"/>
        </w:rPr>
        <w:t>follows</w:t>
      </w:r>
      <w:commentRangeEnd w:id="33"/>
      <w:r w:rsidRPr="000256C2">
        <w:rPr>
          <w:rStyle w:val="CommentReference"/>
        </w:rPr>
        <w:commentReference w:id="33"/>
      </w:r>
      <w:r w:rsidRPr="000256C2">
        <w:rPr>
          <w:rFonts w:cs="Times New Roman"/>
        </w:rPr>
        <w:t>:</w:t>
      </w:r>
    </w:p>
    <w:bookmarkStart w:id="34" w:name="_MON_1510395878"/>
    <w:bookmarkEnd w:id="34"/>
    <w:p w14:paraId="15D41FD0" w14:textId="77777777" w:rsidR="00561167" w:rsidRDefault="00561167" w:rsidP="00561167">
      <w:pPr>
        <w:autoSpaceDE w:val="0"/>
        <w:autoSpaceDN w:val="0"/>
        <w:adjustRightInd w:val="0"/>
        <w:jc w:val="center"/>
        <w:rPr>
          <w:rFonts w:cs="Times New Roman"/>
        </w:rPr>
      </w:pPr>
      <w:r w:rsidRPr="00757461">
        <w:rPr>
          <w:rFonts w:cs="Times New Roman"/>
        </w:rPr>
        <w:object w:dxaOrig="3636" w:dyaOrig="1472" w14:anchorId="1249F850">
          <v:shape id="_x0000_i1045" type="#_x0000_t75" style="width:179.25pt;height:1in" o:ole="">
            <v:imagedata r:id="rId64" o:title=""/>
          </v:shape>
          <o:OLEObject Type="Embed" ProgID="Excel.Sheet.12" ShapeID="_x0000_i1045" DrawAspect="Content" ObjectID="_1577870069" r:id="rId65"/>
        </w:object>
      </w:r>
    </w:p>
    <w:p w14:paraId="05D527BD" w14:textId="77777777" w:rsidR="00561167" w:rsidRDefault="00561167" w:rsidP="00561167">
      <w:pPr>
        <w:autoSpaceDE w:val="0"/>
        <w:autoSpaceDN w:val="0"/>
        <w:adjustRightInd w:val="0"/>
        <w:rPr>
          <w:rFonts w:cs="Times New Roman"/>
        </w:rPr>
      </w:pPr>
    </w:p>
    <w:p w14:paraId="5D622179" w14:textId="77777777" w:rsidR="00561167" w:rsidRDefault="00561167" w:rsidP="00561167">
      <w:pPr>
        <w:autoSpaceDE w:val="0"/>
        <w:autoSpaceDN w:val="0"/>
        <w:adjustRightInd w:val="0"/>
        <w:rPr>
          <w:rFonts w:cs="Times New Roman"/>
        </w:rPr>
      </w:pPr>
      <w:r>
        <w:rPr>
          <w:rFonts w:cs="Times New Roman"/>
        </w:rPr>
        <w:t>These money-weighted rates of return express investment performance, net of pension plan investment expense, and reflects both the size and timing of cash flows.</w:t>
      </w:r>
    </w:p>
    <w:p w14:paraId="18AB186B" w14:textId="77777777" w:rsidR="00561167" w:rsidRDefault="00561167" w:rsidP="00561167">
      <w:pPr>
        <w:autoSpaceDE w:val="0"/>
        <w:autoSpaceDN w:val="0"/>
        <w:adjustRightInd w:val="0"/>
        <w:rPr>
          <w:rFonts w:cs="Times New Roman"/>
        </w:rPr>
      </w:pPr>
    </w:p>
    <w:p w14:paraId="257A8FEA" w14:textId="77777777" w:rsidR="002F0078" w:rsidRDefault="002F0078" w:rsidP="00561167">
      <w:pPr>
        <w:autoSpaceDE w:val="0"/>
        <w:autoSpaceDN w:val="0"/>
        <w:adjustRightInd w:val="0"/>
        <w:rPr>
          <w:rFonts w:cs="Times New Roman"/>
        </w:rPr>
      </w:pPr>
    </w:p>
    <w:p w14:paraId="2DAE6FF9" w14:textId="77777777" w:rsidR="002F0078" w:rsidRDefault="002F0078" w:rsidP="00561167">
      <w:pPr>
        <w:autoSpaceDE w:val="0"/>
        <w:autoSpaceDN w:val="0"/>
        <w:adjustRightInd w:val="0"/>
        <w:rPr>
          <w:rFonts w:cs="Times New Roman"/>
        </w:rPr>
      </w:pPr>
    </w:p>
    <w:p w14:paraId="4B70FDE9" w14:textId="77777777" w:rsidR="002F0078" w:rsidRDefault="002F0078" w:rsidP="00561167">
      <w:pPr>
        <w:autoSpaceDE w:val="0"/>
        <w:autoSpaceDN w:val="0"/>
        <w:adjustRightInd w:val="0"/>
        <w:rPr>
          <w:rFonts w:cs="Times New Roman"/>
        </w:rPr>
      </w:pPr>
    </w:p>
    <w:p w14:paraId="76D48534" w14:textId="23D8B3A8" w:rsidR="00561167" w:rsidRPr="00741402" w:rsidRDefault="00561167" w:rsidP="00561167">
      <w:pPr>
        <w:autoSpaceDE w:val="0"/>
        <w:autoSpaceDN w:val="0"/>
        <w:adjustRightInd w:val="0"/>
        <w:rPr>
          <w:rFonts w:cs="Times New Roman"/>
        </w:rPr>
      </w:pPr>
      <w:r w:rsidRPr="00741402">
        <w:rPr>
          <w:rFonts w:cs="Times New Roman"/>
        </w:rPr>
        <w:t xml:space="preserve">The PERS and TRS target asset allocation and long-term expected real rate of return as of June 30, 2016, are summarized in the following </w:t>
      </w:r>
      <w:commentRangeStart w:id="35"/>
      <w:r w:rsidRPr="00741402">
        <w:rPr>
          <w:rFonts w:cs="Times New Roman"/>
        </w:rPr>
        <w:t>table</w:t>
      </w:r>
      <w:commentRangeEnd w:id="35"/>
      <w:r w:rsidRPr="00741402">
        <w:rPr>
          <w:rStyle w:val="CommentReference"/>
        </w:rPr>
        <w:commentReference w:id="35"/>
      </w:r>
      <w:r w:rsidRPr="00741402">
        <w:rPr>
          <w:rFonts w:cs="Times New Roman"/>
        </w:rPr>
        <w:t>:</w:t>
      </w:r>
    </w:p>
    <w:p w14:paraId="52070EE8" w14:textId="77777777" w:rsidR="00561167" w:rsidRPr="00741402" w:rsidRDefault="00561167" w:rsidP="00561167">
      <w:pPr>
        <w:autoSpaceDE w:val="0"/>
        <w:autoSpaceDN w:val="0"/>
        <w:adjustRightInd w:val="0"/>
        <w:rPr>
          <w:rFonts w:cs="Times New Roman"/>
        </w:rPr>
      </w:pPr>
    </w:p>
    <w:bookmarkStart w:id="36" w:name="_MON_1510397037"/>
    <w:bookmarkEnd w:id="36"/>
    <w:p w14:paraId="73D3AD39" w14:textId="77777777" w:rsidR="00561167" w:rsidRDefault="00561167" w:rsidP="00561167">
      <w:pPr>
        <w:autoSpaceDE w:val="0"/>
        <w:autoSpaceDN w:val="0"/>
        <w:adjustRightInd w:val="0"/>
        <w:jc w:val="center"/>
        <w:rPr>
          <w:rFonts w:cs="Times New Roman"/>
        </w:rPr>
      </w:pPr>
      <w:r w:rsidRPr="00741402">
        <w:rPr>
          <w:rFonts w:cs="Times New Roman"/>
        </w:rPr>
        <w:object w:dxaOrig="5923" w:dyaOrig="2344" w14:anchorId="3AC7BF06">
          <v:shape id="_x0000_i1046" type="#_x0000_t75" style="width:295.5pt;height:115.5pt" o:ole="">
            <v:imagedata r:id="rId66" o:title=""/>
          </v:shape>
          <o:OLEObject Type="Embed" ProgID="Excel.Sheet.12" ShapeID="_x0000_i1046" DrawAspect="Content" ObjectID="_1577870070" r:id="rId67"/>
        </w:object>
      </w:r>
    </w:p>
    <w:p w14:paraId="1AA966D6" w14:textId="77777777" w:rsidR="00561167" w:rsidRDefault="00561167" w:rsidP="00561167">
      <w:pPr>
        <w:jc w:val="center"/>
      </w:pPr>
    </w:p>
    <w:p w14:paraId="6FDACE6C" w14:textId="77777777" w:rsidR="00561167" w:rsidRDefault="00561167" w:rsidP="00561167">
      <w:pPr>
        <w:autoSpaceDE w:val="0"/>
        <w:autoSpaceDN w:val="0"/>
        <w:adjustRightInd w:val="0"/>
        <w:rPr>
          <w:rFonts w:cs="Times New Roman"/>
        </w:rPr>
      </w:pPr>
      <w:r>
        <w:rPr>
          <w:rFonts w:cs="Times New Roman"/>
        </w:rPr>
        <w:t>The inflation component used to create the above table is 2.20 percent and represents WSIB’s most recent long-term estimate of broad economic inflation.</w:t>
      </w:r>
    </w:p>
    <w:p w14:paraId="382DE54B" w14:textId="77777777" w:rsidR="00561167" w:rsidRDefault="00561167" w:rsidP="00561167"/>
    <w:p w14:paraId="5E90CE75" w14:textId="77777777" w:rsidR="00561167" w:rsidRDefault="00561167" w:rsidP="00561167">
      <w:pPr>
        <w:autoSpaceDE w:val="0"/>
        <w:autoSpaceDN w:val="0"/>
        <w:adjustRightInd w:val="0"/>
        <w:rPr>
          <w:rFonts w:cs="Times New Roman"/>
          <w:b/>
        </w:rPr>
      </w:pPr>
      <w:r w:rsidRPr="00FE0BFC">
        <w:rPr>
          <w:rFonts w:cs="Times New Roman"/>
          <w:b/>
        </w:rPr>
        <w:t>Pension Expense</w:t>
      </w:r>
    </w:p>
    <w:p w14:paraId="744D4394" w14:textId="77777777" w:rsidR="00561167" w:rsidRDefault="00561167" w:rsidP="00561167">
      <w:pPr>
        <w:autoSpaceDE w:val="0"/>
        <w:autoSpaceDN w:val="0"/>
        <w:adjustRightInd w:val="0"/>
        <w:rPr>
          <w:rFonts w:cs="Times New Roman"/>
        </w:rPr>
      </w:pPr>
      <w:r>
        <w:rPr>
          <w:rFonts w:cs="Times New Roman"/>
        </w:rPr>
        <w:t>Pension expense is included as part of “Employee Benefits” expense in the statement of revenues, expenses and changes in net position.  The table below shows the components of each pension plans expense as it affected employee benefits:</w:t>
      </w:r>
    </w:p>
    <w:p w14:paraId="5326863E" w14:textId="77777777" w:rsidR="00561167" w:rsidRDefault="00561167" w:rsidP="00561167"/>
    <w:tbl>
      <w:tblPr>
        <w:tblW w:w="9267" w:type="dxa"/>
        <w:jc w:val="center"/>
        <w:tblLook w:val="04A0" w:firstRow="1" w:lastRow="0" w:firstColumn="1" w:lastColumn="0" w:noHBand="0" w:noVBand="1"/>
      </w:tblPr>
      <w:tblGrid>
        <w:gridCol w:w="2845"/>
        <w:gridCol w:w="1241"/>
        <w:gridCol w:w="1251"/>
        <w:gridCol w:w="1200"/>
        <w:gridCol w:w="1135"/>
        <w:gridCol w:w="1595"/>
      </w:tblGrid>
      <w:tr w:rsidR="00561167" w:rsidRPr="00AC1097" w14:paraId="30BED389" w14:textId="77777777" w:rsidTr="002F0078">
        <w:trPr>
          <w:trHeight w:val="555"/>
          <w:jc w:val="center"/>
        </w:trPr>
        <w:tc>
          <w:tcPr>
            <w:tcW w:w="2845" w:type="dxa"/>
            <w:tcBorders>
              <w:top w:val="nil"/>
              <w:left w:val="nil"/>
              <w:bottom w:val="single" w:sz="4" w:space="0" w:color="auto"/>
              <w:right w:val="nil"/>
            </w:tcBorders>
            <w:shd w:val="clear" w:color="auto" w:fill="auto"/>
            <w:noWrap/>
            <w:vAlign w:val="bottom"/>
            <w:hideMark/>
          </w:tcPr>
          <w:p w14:paraId="07F8CD92" w14:textId="77777777" w:rsidR="00561167" w:rsidRPr="00AC1097" w:rsidRDefault="00561167" w:rsidP="00561167">
            <w:pPr>
              <w:rPr>
                <w:rFonts w:ascii="Calibri" w:eastAsia="Times New Roman" w:hAnsi="Calibri" w:cs="Times New Roman"/>
                <w:b/>
                <w:bCs/>
                <w:color w:val="000000"/>
                <w:sz w:val="22"/>
                <w:szCs w:val="22"/>
              </w:rPr>
            </w:pPr>
            <w:r w:rsidRPr="00AC1097">
              <w:rPr>
                <w:rFonts w:ascii="Calibri" w:eastAsia="Times New Roman" w:hAnsi="Calibri" w:cs="Times New Roman"/>
                <w:b/>
                <w:bCs/>
                <w:color w:val="000000"/>
                <w:sz w:val="22"/>
                <w:szCs w:val="22"/>
              </w:rPr>
              <w:t> </w:t>
            </w:r>
          </w:p>
        </w:tc>
        <w:tc>
          <w:tcPr>
            <w:tcW w:w="1241" w:type="dxa"/>
            <w:tcBorders>
              <w:top w:val="nil"/>
              <w:left w:val="nil"/>
              <w:bottom w:val="single" w:sz="4" w:space="0" w:color="auto"/>
              <w:right w:val="nil"/>
            </w:tcBorders>
            <w:shd w:val="clear" w:color="auto" w:fill="auto"/>
            <w:noWrap/>
            <w:vAlign w:val="bottom"/>
            <w:hideMark/>
          </w:tcPr>
          <w:p w14:paraId="6EF313BB" w14:textId="77777777" w:rsidR="00561167" w:rsidRPr="00AC1097" w:rsidRDefault="00561167" w:rsidP="00561167">
            <w:pPr>
              <w:jc w:val="center"/>
              <w:rPr>
                <w:rFonts w:ascii="Calibri" w:eastAsia="Times New Roman" w:hAnsi="Calibri" w:cs="Times New Roman"/>
                <w:b/>
                <w:bCs/>
                <w:color w:val="000000"/>
                <w:sz w:val="22"/>
                <w:szCs w:val="22"/>
              </w:rPr>
            </w:pPr>
            <w:r w:rsidRPr="00AC1097">
              <w:rPr>
                <w:rFonts w:ascii="Calibri" w:eastAsia="Times New Roman" w:hAnsi="Calibri" w:cs="Times New Roman"/>
                <w:b/>
                <w:bCs/>
                <w:color w:val="000000"/>
                <w:sz w:val="22"/>
                <w:szCs w:val="22"/>
              </w:rPr>
              <w:t>PERS 1</w:t>
            </w:r>
          </w:p>
        </w:tc>
        <w:tc>
          <w:tcPr>
            <w:tcW w:w="1251" w:type="dxa"/>
            <w:tcBorders>
              <w:top w:val="nil"/>
              <w:left w:val="nil"/>
              <w:bottom w:val="single" w:sz="4" w:space="0" w:color="auto"/>
              <w:right w:val="nil"/>
            </w:tcBorders>
            <w:shd w:val="clear" w:color="auto" w:fill="auto"/>
            <w:noWrap/>
            <w:vAlign w:val="bottom"/>
            <w:hideMark/>
          </w:tcPr>
          <w:p w14:paraId="7E48E7E3" w14:textId="77777777" w:rsidR="00561167" w:rsidRPr="00AC1097" w:rsidRDefault="00561167" w:rsidP="00561167">
            <w:pPr>
              <w:jc w:val="center"/>
              <w:rPr>
                <w:rFonts w:ascii="Calibri" w:eastAsia="Times New Roman" w:hAnsi="Calibri" w:cs="Times New Roman"/>
                <w:b/>
                <w:bCs/>
                <w:color w:val="000000"/>
                <w:sz w:val="22"/>
                <w:szCs w:val="22"/>
              </w:rPr>
            </w:pPr>
            <w:r w:rsidRPr="00AC1097">
              <w:rPr>
                <w:rFonts w:ascii="Calibri" w:eastAsia="Times New Roman" w:hAnsi="Calibri" w:cs="Times New Roman"/>
                <w:b/>
                <w:bCs/>
                <w:color w:val="000000"/>
                <w:sz w:val="22"/>
                <w:szCs w:val="22"/>
              </w:rPr>
              <w:t>PERS 2/3</w:t>
            </w:r>
          </w:p>
        </w:tc>
        <w:tc>
          <w:tcPr>
            <w:tcW w:w="1200" w:type="dxa"/>
            <w:tcBorders>
              <w:top w:val="nil"/>
              <w:left w:val="nil"/>
              <w:bottom w:val="single" w:sz="4" w:space="0" w:color="auto"/>
              <w:right w:val="nil"/>
            </w:tcBorders>
            <w:shd w:val="clear" w:color="auto" w:fill="auto"/>
            <w:noWrap/>
            <w:vAlign w:val="bottom"/>
            <w:hideMark/>
          </w:tcPr>
          <w:p w14:paraId="4DF4F284" w14:textId="77777777" w:rsidR="00561167" w:rsidRPr="00AC1097" w:rsidRDefault="00561167" w:rsidP="00561167">
            <w:pPr>
              <w:rPr>
                <w:rFonts w:ascii="Calibri" w:eastAsia="Times New Roman" w:hAnsi="Calibri" w:cs="Times New Roman"/>
                <w:b/>
                <w:bCs/>
                <w:color w:val="000000"/>
                <w:sz w:val="22"/>
                <w:szCs w:val="22"/>
              </w:rPr>
            </w:pPr>
            <w:r w:rsidRPr="00AC1097">
              <w:rPr>
                <w:rFonts w:ascii="Calibri" w:eastAsia="Times New Roman" w:hAnsi="Calibri" w:cs="Times New Roman"/>
                <w:b/>
                <w:bCs/>
                <w:color w:val="000000"/>
                <w:sz w:val="22"/>
                <w:szCs w:val="22"/>
              </w:rPr>
              <w:t>TRS 1</w:t>
            </w:r>
          </w:p>
        </w:tc>
        <w:tc>
          <w:tcPr>
            <w:tcW w:w="1135" w:type="dxa"/>
            <w:tcBorders>
              <w:top w:val="nil"/>
              <w:left w:val="nil"/>
              <w:bottom w:val="single" w:sz="4" w:space="0" w:color="auto"/>
              <w:right w:val="nil"/>
            </w:tcBorders>
            <w:shd w:val="clear" w:color="auto" w:fill="auto"/>
            <w:noWrap/>
            <w:vAlign w:val="bottom"/>
            <w:hideMark/>
          </w:tcPr>
          <w:p w14:paraId="49087FF4" w14:textId="77777777" w:rsidR="00561167" w:rsidRPr="00AC1097" w:rsidRDefault="00561167" w:rsidP="00561167">
            <w:pPr>
              <w:rPr>
                <w:rFonts w:ascii="Calibri" w:eastAsia="Times New Roman" w:hAnsi="Calibri" w:cs="Times New Roman"/>
                <w:b/>
                <w:bCs/>
                <w:color w:val="000000"/>
                <w:sz w:val="22"/>
                <w:szCs w:val="22"/>
              </w:rPr>
            </w:pPr>
            <w:r w:rsidRPr="00AC1097">
              <w:rPr>
                <w:rFonts w:ascii="Calibri" w:eastAsia="Times New Roman" w:hAnsi="Calibri" w:cs="Times New Roman"/>
                <w:b/>
                <w:bCs/>
                <w:color w:val="000000"/>
                <w:sz w:val="22"/>
                <w:szCs w:val="22"/>
              </w:rPr>
              <w:t>TRS 2/3</w:t>
            </w:r>
          </w:p>
        </w:tc>
        <w:tc>
          <w:tcPr>
            <w:tcW w:w="1595" w:type="dxa"/>
            <w:tcBorders>
              <w:top w:val="nil"/>
              <w:left w:val="nil"/>
              <w:bottom w:val="single" w:sz="4" w:space="0" w:color="auto"/>
              <w:right w:val="nil"/>
            </w:tcBorders>
            <w:shd w:val="clear" w:color="auto" w:fill="auto"/>
            <w:noWrap/>
            <w:vAlign w:val="bottom"/>
            <w:hideMark/>
          </w:tcPr>
          <w:p w14:paraId="662190D9" w14:textId="77777777" w:rsidR="00561167" w:rsidRPr="00AC1097" w:rsidRDefault="00561167" w:rsidP="00561167">
            <w:pPr>
              <w:rPr>
                <w:rFonts w:ascii="Calibri" w:eastAsia="Times New Roman" w:hAnsi="Calibri" w:cs="Times New Roman"/>
                <w:b/>
                <w:bCs/>
                <w:color w:val="000000"/>
                <w:sz w:val="22"/>
                <w:szCs w:val="22"/>
              </w:rPr>
            </w:pPr>
            <w:r w:rsidRPr="00AC1097">
              <w:rPr>
                <w:rFonts w:ascii="Calibri" w:eastAsia="Times New Roman" w:hAnsi="Calibri" w:cs="Times New Roman"/>
                <w:b/>
                <w:bCs/>
                <w:color w:val="000000"/>
                <w:sz w:val="22"/>
                <w:szCs w:val="22"/>
              </w:rPr>
              <w:t>Total</w:t>
            </w:r>
          </w:p>
        </w:tc>
      </w:tr>
      <w:tr w:rsidR="00561167" w:rsidRPr="005F31B5" w14:paraId="0A6B56B1" w14:textId="77777777" w:rsidTr="002F0078">
        <w:trPr>
          <w:trHeight w:val="600"/>
          <w:jc w:val="center"/>
        </w:trPr>
        <w:tc>
          <w:tcPr>
            <w:tcW w:w="2845" w:type="dxa"/>
            <w:tcBorders>
              <w:top w:val="nil"/>
              <w:left w:val="nil"/>
              <w:bottom w:val="nil"/>
              <w:right w:val="nil"/>
            </w:tcBorders>
            <w:shd w:val="clear" w:color="auto" w:fill="auto"/>
            <w:vAlign w:val="bottom"/>
            <w:hideMark/>
          </w:tcPr>
          <w:p w14:paraId="23C60E88" w14:textId="77777777" w:rsidR="00561167" w:rsidRPr="00AC109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FY16 Pension Expense</w:t>
            </w:r>
          </w:p>
        </w:tc>
        <w:tc>
          <w:tcPr>
            <w:tcW w:w="1241" w:type="dxa"/>
            <w:tcBorders>
              <w:top w:val="nil"/>
              <w:left w:val="nil"/>
              <w:bottom w:val="nil"/>
              <w:right w:val="nil"/>
            </w:tcBorders>
            <w:shd w:val="clear" w:color="auto" w:fill="auto"/>
            <w:noWrap/>
            <w:vAlign w:val="bottom"/>
          </w:tcPr>
          <w:p w14:paraId="00283022" w14:textId="77777777" w:rsidR="00561167" w:rsidRPr="005F31B5" w:rsidRDefault="00561167" w:rsidP="00561167">
            <w:pPr>
              <w:rPr>
                <w:rFonts w:ascii="Calibri" w:eastAsia="Times New Roman" w:hAnsi="Calibri" w:cs="Times New Roman"/>
                <w:color w:val="000000"/>
                <w:sz w:val="22"/>
                <w:szCs w:val="22"/>
              </w:rPr>
            </w:pPr>
            <w:r w:rsidRPr="005F31B5">
              <w:rPr>
                <w:rFonts w:ascii="Calibri" w:eastAsia="Times New Roman" w:hAnsi="Calibri" w:cs="Times New Roman"/>
                <w:color w:val="000000"/>
                <w:sz w:val="22"/>
                <w:szCs w:val="22"/>
              </w:rPr>
              <w:t>$226,928</w:t>
            </w:r>
          </w:p>
        </w:tc>
        <w:tc>
          <w:tcPr>
            <w:tcW w:w="1251" w:type="dxa"/>
            <w:tcBorders>
              <w:top w:val="nil"/>
              <w:left w:val="nil"/>
              <w:bottom w:val="nil"/>
              <w:right w:val="nil"/>
            </w:tcBorders>
            <w:shd w:val="clear" w:color="auto" w:fill="auto"/>
            <w:noWrap/>
            <w:vAlign w:val="bottom"/>
          </w:tcPr>
          <w:p w14:paraId="20CB28B9" w14:textId="77777777" w:rsidR="00561167" w:rsidRPr="005F31B5" w:rsidRDefault="00561167" w:rsidP="00561167">
            <w:pPr>
              <w:rPr>
                <w:rFonts w:ascii="Calibri" w:eastAsia="Times New Roman" w:hAnsi="Calibri" w:cs="Times New Roman"/>
                <w:color w:val="000000"/>
                <w:sz w:val="22"/>
                <w:szCs w:val="22"/>
              </w:rPr>
            </w:pPr>
            <w:r w:rsidRPr="005F31B5">
              <w:rPr>
                <w:rFonts w:ascii="Calibri" w:eastAsia="Times New Roman" w:hAnsi="Calibri" w:cs="Times New Roman"/>
                <w:color w:val="000000"/>
                <w:sz w:val="22"/>
                <w:szCs w:val="22"/>
              </w:rPr>
              <w:t>$570,889</w:t>
            </w:r>
          </w:p>
        </w:tc>
        <w:tc>
          <w:tcPr>
            <w:tcW w:w="1200" w:type="dxa"/>
            <w:tcBorders>
              <w:top w:val="nil"/>
              <w:left w:val="nil"/>
              <w:bottom w:val="nil"/>
              <w:right w:val="nil"/>
            </w:tcBorders>
            <w:shd w:val="clear" w:color="auto" w:fill="auto"/>
            <w:noWrap/>
            <w:vAlign w:val="bottom"/>
          </w:tcPr>
          <w:p w14:paraId="2CE606AB" w14:textId="77777777" w:rsidR="00561167" w:rsidRPr="005F31B5" w:rsidRDefault="00561167" w:rsidP="00561167">
            <w:pPr>
              <w:rPr>
                <w:rFonts w:ascii="Calibri" w:eastAsia="Times New Roman" w:hAnsi="Calibri" w:cs="Times New Roman"/>
                <w:color w:val="000000"/>
                <w:sz w:val="22"/>
                <w:szCs w:val="22"/>
              </w:rPr>
            </w:pPr>
            <w:r w:rsidRPr="005F31B5">
              <w:rPr>
                <w:rFonts w:ascii="Calibri" w:eastAsia="Times New Roman" w:hAnsi="Calibri" w:cs="Times New Roman"/>
                <w:color w:val="000000"/>
                <w:sz w:val="22"/>
                <w:szCs w:val="22"/>
              </w:rPr>
              <w:t>$14,527</w:t>
            </w:r>
          </w:p>
        </w:tc>
        <w:tc>
          <w:tcPr>
            <w:tcW w:w="1135" w:type="dxa"/>
            <w:tcBorders>
              <w:top w:val="nil"/>
              <w:left w:val="nil"/>
              <w:bottom w:val="nil"/>
              <w:right w:val="nil"/>
            </w:tcBorders>
            <w:shd w:val="clear" w:color="auto" w:fill="auto"/>
            <w:noWrap/>
            <w:vAlign w:val="bottom"/>
          </w:tcPr>
          <w:p w14:paraId="0F9A9E99" w14:textId="77777777" w:rsidR="00561167" w:rsidRPr="005F31B5" w:rsidRDefault="00561167" w:rsidP="00561167">
            <w:pPr>
              <w:rPr>
                <w:rFonts w:ascii="Calibri" w:eastAsia="Times New Roman" w:hAnsi="Calibri" w:cs="Times New Roman"/>
                <w:color w:val="000000"/>
                <w:sz w:val="22"/>
                <w:szCs w:val="22"/>
              </w:rPr>
            </w:pPr>
            <w:r w:rsidRPr="005F31B5">
              <w:rPr>
                <w:rFonts w:ascii="Calibri" w:eastAsia="Times New Roman" w:hAnsi="Calibri" w:cs="Times New Roman"/>
                <w:color w:val="000000"/>
                <w:sz w:val="22"/>
                <w:szCs w:val="22"/>
              </w:rPr>
              <w:t>$8,451</w:t>
            </w:r>
          </w:p>
        </w:tc>
        <w:tc>
          <w:tcPr>
            <w:tcW w:w="1595" w:type="dxa"/>
            <w:tcBorders>
              <w:top w:val="nil"/>
              <w:left w:val="nil"/>
              <w:bottom w:val="nil"/>
              <w:right w:val="nil"/>
            </w:tcBorders>
            <w:shd w:val="clear" w:color="auto" w:fill="auto"/>
            <w:noWrap/>
            <w:vAlign w:val="bottom"/>
          </w:tcPr>
          <w:p w14:paraId="39C30A35" w14:textId="77777777" w:rsidR="00561167" w:rsidRPr="005F31B5" w:rsidRDefault="00561167" w:rsidP="00561167">
            <w:pPr>
              <w:rPr>
                <w:rFonts w:ascii="Calibri" w:eastAsia="Times New Roman" w:hAnsi="Calibri" w:cs="Times New Roman"/>
                <w:color w:val="000000"/>
                <w:sz w:val="22"/>
                <w:szCs w:val="22"/>
              </w:rPr>
            </w:pPr>
            <w:r w:rsidRPr="005F31B5">
              <w:rPr>
                <w:rFonts w:ascii="Calibri" w:eastAsia="Times New Roman" w:hAnsi="Calibri" w:cs="Times New Roman"/>
                <w:color w:val="000000"/>
                <w:sz w:val="22"/>
                <w:szCs w:val="22"/>
              </w:rPr>
              <w:t>$820,794</w:t>
            </w:r>
          </w:p>
        </w:tc>
      </w:tr>
      <w:tr w:rsidR="00561167" w:rsidRPr="005F31B5" w14:paraId="141B905F" w14:textId="77777777" w:rsidTr="002F0078">
        <w:trPr>
          <w:trHeight w:val="600"/>
          <w:jc w:val="center"/>
        </w:trPr>
        <w:tc>
          <w:tcPr>
            <w:tcW w:w="2845" w:type="dxa"/>
            <w:tcBorders>
              <w:top w:val="nil"/>
              <w:left w:val="nil"/>
              <w:bottom w:val="nil"/>
              <w:right w:val="nil"/>
            </w:tcBorders>
            <w:shd w:val="clear" w:color="auto" w:fill="auto"/>
            <w:vAlign w:val="bottom"/>
            <w:hideMark/>
          </w:tcPr>
          <w:p w14:paraId="52E98A0F" w14:textId="77777777" w:rsidR="00561167" w:rsidRPr="00AC109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FY17</w:t>
            </w:r>
            <w:r w:rsidRPr="008F6902">
              <w:rPr>
                <w:rFonts w:ascii="Calibri" w:eastAsia="Times New Roman" w:hAnsi="Calibri" w:cs="Times New Roman"/>
                <w:color w:val="000000"/>
                <w:sz w:val="22"/>
                <w:szCs w:val="22"/>
              </w:rPr>
              <w:t xml:space="preserve"> Amortization of change in proportionate liability</w:t>
            </w:r>
          </w:p>
        </w:tc>
        <w:tc>
          <w:tcPr>
            <w:tcW w:w="1241" w:type="dxa"/>
            <w:tcBorders>
              <w:top w:val="nil"/>
              <w:left w:val="nil"/>
              <w:bottom w:val="nil"/>
              <w:right w:val="nil"/>
            </w:tcBorders>
            <w:shd w:val="clear" w:color="auto" w:fill="auto"/>
            <w:noWrap/>
            <w:vAlign w:val="bottom"/>
          </w:tcPr>
          <w:p w14:paraId="64623F68" w14:textId="77777777" w:rsidR="00561167" w:rsidRPr="005F31B5" w:rsidRDefault="00561167" w:rsidP="00561167">
            <w:pPr>
              <w:rPr>
                <w:rFonts w:ascii="Calibri" w:eastAsia="Times New Roman" w:hAnsi="Calibri" w:cs="Times New Roman"/>
                <w:color w:val="000000"/>
                <w:sz w:val="22"/>
                <w:szCs w:val="22"/>
              </w:rPr>
            </w:pPr>
            <w:r w:rsidRPr="005F31B5">
              <w:rPr>
                <w:rFonts w:ascii="Calibri" w:eastAsia="Times New Roman" w:hAnsi="Calibri" w:cs="Times New Roman"/>
                <w:color w:val="000000"/>
                <w:sz w:val="22"/>
                <w:szCs w:val="22"/>
              </w:rPr>
              <w:t>$ (52,748)</w:t>
            </w:r>
          </w:p>
        </w:tc>
        <w:tc>
          <w:tcPr>
            <w:tcW w:w="1251" w:type="dxa"/>
            <w:tcBorders>
              <w:top w:val="nil"/>
              <w:left w:val="nil"/>
              <w:bottom w:val="nil"/>
              <w:right w:val="nil"/>
            </w:tcBorders>
            <w:shd w:val="clear" w:color="auto" w:fill="auto"/>
            <w:noWrap/>
            <w:vAlign w:val="bottom"/>
          </w:tcPr>
          <w:p w14:paraId="28277072" w14:textId="77777777" w:rsidR="00561167" w:rsidRPr="005F31B5" w:rsidRDefault="00561167" w:rsidP="00561167">
            <w:pPr>
              <w:rPr>
                <w:rFonts w:ascii="Calibri" w:eastAsia="Times New Roman" w:hAnsi="Calibri" w:cs="Times New Roman"/>
                <w:color w:val="000000"/>
                <w:sz w:val="22"/>
                <w:szCs w:val="22"/>
              </w:rPr>
            </w:pPr>
            <w:r w:rsidRPr="005F31B5">
              <w:rPr>
                <w:rFonts w:ascii="Calibri" w:eastAsia="Times New Roman" w:hAnsi="Calibri" w:cs="Times New Roman"/>
                <w:color w:val="000000"/>
                <w:sz w:val="22"/>
                <w:szCs w:val="22"/>
              </w:rPr>
              <w:t>$20,813</w:t>
            </w:r>
          </w:p>
        </w:tc>
        <w:tc>
          <w:tcPr>
            <w:tcW w:w="1200" w:type="dxa"/>
            <w:tcBorders>
              <w:top w:val="nil"/>
              <w:left w:val="nil"/>
              <w:bottom w:val="nil"/>
              <w:right w:val="nil"/>
            </w:tcBorders>
            <w:shd w:val="clear" w:color="auto" w:fill="auto"/>
            <w:noWrap/>
            <w:vAlign w:val="bottom"/>
          </w:tcPr>
          <w:p w14:paraId="0C117BF7" w14:textId="77777777" w:rsidR="00561167" w:rsidRPr="005F31B5" w:rsidRDefault="00561167" w:rsidP="00561167">
            <w:pPr>
              <w:rPr>
                <w:rFonts w:ascii="Calibri" w:eastAsia="Times New Roman" w:hAnsi="Calibri" w:cs="Times New Roman"/>
                <w:color w:val="000000"/>
                <w:sz w:val="22"/>
                <w:szCs w:val="22"/>
              </w:rPr>
            </w:pPr>
            <w:r w:rsidRPr="005F31B5">
              <w:rPr>
                <w:rFonts w:ascii="Calibri" w:eastAsia="Times New Roman" w:hAnsi="Calibri" w:cs="Times New Roman"/>
                <w:color w:val="000000"/>
                <w:sz w:val="22"/>
                <w:szCs w:val="22"/>
              </w:rPr>
              <w:t>$(218,381)</w:t>
            </w:r>
          </w:p>
        </w:tc>
        <w:tc>
          <w:tcPr>
            <w:tcW w:w="1135" w:type="dxa"/>
            <w:tcBorders>
              <w:top w:val="nil"/>
              <w:left w:val="nil"/>
              <w:bottom w:val="nil"/>
              <w:right w:val="nil"/>
            </w:tcBorders>
            <w:shd w:val="clear" w:color="auto" w:fill="auto"/>
            <w:noWrap/>
            <w:vAlign w:val="bottom"/>
          </w:tcPr>
          <w:p w14:paraId="15CD6F33" w14:textId="77777777" w:rsidR="00561167" w:rsidRPr="005F31B5" w:rsidRDefault="00561167" w:rsidP="00561167">
            <w:pPr>
              <w:rPr>
                <w:rFonts w:ascii="Calibri" w:eastAsia="Times New Roman" w:hAnsi="Calibri" w:cs="Times New Roman"/>
                <w:color w:val="000000"/>
                <w:sz w:val="22"/>
                <w:szCs w:val="22"/>
              </w:rPr>
            </w:pPr>
            <w:r w:rsidRPr="005F31B5">
              <w:rPr>
                <w:rFonts w:ascii="Calibri" w:eastAsia="Times New Roman" w:hAnsi="Calibri" w:cs="Times New Roman"/>
                <w:color w:val="000000"/>
                <w:sz w:val="22"/>
                <w:szCs w:val="22"/>
              </w:rPr>
              <w:t>$2,038</w:t>
            </w:r>
          </w:p>
        </w:tc>
        <w:tc>
          <w:tcPr>
            <w:tcW w:w="1595" w:type="dxa"/>
            <w:tcBorders>
              <w:top w:val="nil"/>
              <w:left w:val="nil"/>
              <w:bottom w:val="nil"/>
              <w:right w:val="nil"/>
            </w:tcBorders>
            <w:shd w:val="clear" w:color="auto" w:fill="auto"/>
            <w:noWrap/>
            <w:vAlign w:val="bottom"/>
          </w:tcPr>
          <w:p w14:paraId="052FC169" w14:textId="77777777" w:rsidR="00561167" w:rsidRPr="005F31B5" w:rsidRDefault="00561167" w:rsidP="00561167">
            <w:pPr>
              <w:rPr>
                <w:rFonts w:ascii="Calibri" w:eastAsia="Times New Roman" w:hAnsi="Calibri" w:cs="Times New Roman"/>
                <w:color w:val="000000"/>
                <w:sz w:val="22"/>
                <w:szCs w:val="22"/>
              </w:rPr>
            </w:pPr>
            <w:r w:rsidRPr="005F31B5">
              <w:rPr>
                <w:rFonts w:ascii="Calibri" w:eastAsia="Times New Roman" w:hAnsi="Calibri" w:cs="Times New Roman"/>
                <w:color w:val="000000"/>
                <w:sz w:val="22"/>
                <w:szCs w:val="22"/>
              </w:rPr>
              <w:t>$(248,278)</w:t>
            </w:r>
          </w:p>
        </w:tc>
      </w:tr>
      <w:tr w:rsidR="00561167" w:rsidRPr="005F31B5" w14:paraId="64AAE0CE" w14:textId="77777777" w:rsidTr="002F0078">
        <w:trPr>
          <w:trHeight w:val="600"/>
          <w:jc w:val="center"/>
        </w:trPr>
        <w:tc>
          <w:tcPr>
            <w:tcW w:w="2845" w:type="dxa"/>
            <w:tcBorders>
              <w:top w:val="nil"/>
              <w:left w:val="nil"/>
              <w:bottom w:val="nil"/>
              <w:right w:val="nil"/>
            </w:tcBorders>
            <w:shd w:val="clear" w:color="auto" w:fill="auto"/>
            <w:vAlign w:val="bottom"/>
          </w:tcPr>
          <w:p w14:paraId="007E3AF9" w14:textId="77777777" w:rsidR="00561167" w:rsidRPr="00AC1097" w:rsidDel="008F6902"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FY16</w:t>
            </w:r>
            <w:r w:rsidRPr="008F6902">
              <w:rPr>
                <w:rFonts w:ascii="Calibri" w:eastAsia="Times New Roman" w:hAnsi="Calibri" w:cs="Times New Roman"/>
                <w:color w:val="000000"/>
                <w:sz w:val="22"/>
                <w:szCs w:val="22"/>
              </w:rPr>
              <w:t xml:space="preserve"> Amortization of change in proportionate liability</w:t>
            </w:r>
          </w:p>
        </w:tc>
        <w:tc>
          <w:tcPr>
            <w:tcW w:w="1241" w:type="dxa"/>
            <w:tcBorders>
              <w:top w:val="nil"/>
              <w:left w:val="nil"/>
              <w:bottom w:val="nil"/>
              <w:right w:val="nil"/>
            </w:tcBorders>
            <w:shd w:val="clear" w:color="auto" w:fill="auto"/>
            <w:noWrap/>
            <w:vAlign w:val="bottom"/>
          </w:tcPr>
          <w:p w14:paraId="05A90740" w14:textId="77777777" w:rsidR="00561167" w:rsidRPr="005F31B5" w:rsidRDefault="00561167" w:rsidP="00561167">
            <w:pPr>
              <w:rPr>
                <w:rFonts w:ascii="Calibri" w:eastAsia="Times New Roman" w:hAnsi="Calibri" w:cs="Times New Roman"/>
                <w:color w:val="000000"/>
                <w:sz w:val="22"/>
                <w:szCs w:val="22"/>
              </w:rPr>
            </w:pPr>
            <w:r w:rsidRPr="005F31B5">
              <w:rPr>
                <w:rFonts w:ascii="Calibri" w:eastAsia="Times New Roman" w:hAnsi="Calibri" w:cs="Times New Roman"/>
                <w:color w:val="000000"/>
                <w:sz w:val="22"/>
                <w:szCs w:val="22"/>
              </w:rPr>
              <w:t>$0</w:t>
            </w:r>
          </w:p>
        </w:tc>
        <w:tc>
          <w:tcPr>
            <w:tcW w:w="1251" w:type="dxa"/>
            <w:tcBorders>
              <w:top w:val="nil"/>
              <w:left w:val="nil"/>
              <w:bottom w:val="nil"/>
              <w:right w:val="nil"/>
            </w:tcBorders>
            <w:shd w:val="clear" w:color="auto" w:fill="auto"/>
            <w:noWrap/>
            <w:vAlign w:val="bottom"/>
          </w:tcPr>
          <w:p w14:paraId="4087DCD8" w14:textId="77777777" w:rsidR="00561167" w:rsidRPr="005F31B5" w:rsidRDefault="00561167" w:rsidP="00561167">
            <w:pPr>
              <w:rPr>
                <w:rFonts w:ascii="Calibri" w:eastAsia="Times New Roman" w:hAnsi="Calibri" w:cs="Times New Roman"/>
                <w:color w:val="000000"/>
                <w:sz w:val="22"/>
                <w:szCs w:val="22"/>
              </w:rPr>
            </w:pPr>
            <w:r w:rsidRPr="005F31B5">
              <w:rPr>
                <w:rFonts w:ascii="Calibri" w:eastAsia="Times New Roman" w:hAnsi="Calibri" w:cs="Times New Roman"/>
                <w:color w:val="000000"/>
                <w:sz w:val="22"/>
                <w:szCs w:val="22"/>
              </w:rPr>
              <w:t>$(3,737)</w:t>
            </w:r>
          </w:p>
        </w:tc>
        <w:tc>
          <w:tcPr>
            <w:tcW w:w="1200" w:type="dxa"/>
            <w:tcBorders>
              <w:top w:val="nil"/>
              <w:left w:val="nil"/>
              <w:bottom w:val="nil"/>
              <w:right w:val="nil"/>
            </w:tcBorders>
            <w:shd w:val="clear" w:color="auto" w:fill="auto"/>
            <w:noWrap/>
            <w:vAlign w:val="bottom"/>
          </w:tcPr>
          <w:p w14:paraId="37303174" w14:textId="77777777" w:rsidR="00561167" w:rsidRPr="005F31B5" w:rsidRDefault="00561167" w:rsidP="00561167">
            <w:pPr>
              <w:rPr>
                <w:rFonts w:ascii="Calibri" w:eastAsia="Times New Roman" w:hAnsi="Calibri" w:cs="Times New Roman"/>
                <w:color w:val="000000"/>
                <w:sz w:val="22"/>
                <w:szCs w:val="22"/>
              </w:rPr>
            </w:pPr>
            <w:r w:rsidRPr="005F31B5">
              <w:rPr>
                <w:rFonts w:ascii="Calibri" w:eastAsia="Times New Roman" w:hAnsi="Calibri" w:cs="Times New Roman"/>
                <w:color w:val="000000"/>
                <w:sz w:val="22"/>
                <w:szCs w:val="22"/>
              </w:rPr>
              <w:t>$0</w:t>
            </w:r>
          </w:p>
        </w:tc>
        <w:tc>
          <w:tcPr>
            <w:tcW w:w="1135" w:type="dxa"/>
            <w:tcBorders>
              <w:top w:val="nil"/>
              <w:left w:val="nil"/>
              <w:bottom w:val="nil"/>
              <w:right w:val="nil"/>
            </w:tcBorders>
            <w:shd w:val="clear" w:color="auto" w:fill="auto"/>
            <w:noWrap/>
            <w:vAlign w:val="bottom"/>
          </w:tcPr>
          <w:p w14:paraId="4EE607B5" w14:textId="77777777" w:rsidR="00561167" w:rsidRPr="005F31B5" w:rsidRDefault="00561167" w:rsidP="00561167">
            <w:pPr>
              <w:rPr>
                <w:rFonts w:ascii="Calibri" w:eastAsia="Times New Roman" w:hAnsi="Calibri" w:cs="Times New Roman"/>
                <w:color w:val="000000"/>
                <w:sz w:val="22"/>
                <w:szCs w:val="22"/>
              </w:rPr>
            </w:pPr>
            <w:r w:rsidRPr="005F31B5">
              <w:rPr>
                <w:rFonts w:ascii="Calibri" w:eastAsia="Times New Roman" w:hAnsi="Calibri" w:cs="Times New Roman"/>
                <w:color w:val="000000"/>
                <w:sz w:val="22"/>
                <w:szCs w:val="22"/>
              </w:rPr>
              <w:t>$(447)</w:t>
            </w:r>
          </w:p>
        </w:tc>
        <w:tc>
          <w:tcPr>
            <w:tcW w:w="1595" w:type="dxa"/>
            <w:tcBorders>
              <w:top w:val="nil"/>
              <w:left w:val="nil"/>
              <w:bottom w:val="nil"/>
              <w:right w:val="nil"/>
            </w:tcBorders>
            <w:shd w:val="clear" w:color="auto" w:fill="auto"/>
            <w:noWrap/>
            <w:vAlign w:val="bottom"/>
          </w:tcPr>
          <w:p w14:paraId="69C2790D" w14:textId="77777777" w:rsidR="00561167" w:rsidRPr="005F31B5" w:rsidRDefault="00561167" w:rsidP="00561167">
            <w:pPr>
              <w:rPr>
                <w:rFonts w:ascii="Calibri" w:eastAsia="Times New Roman" w:hAnsi="Calibri" w:cs="Times New Roman"/>
                <w:color w:val="000000"/>
                <w:sz w:val="22"/>
                <w:szCs w:val="22"/>
              </w:rPr>
            </w:pPr>
            <w:r w:rsidRPr="005F31B5">
              <w:rPr>
                <w:rFonts w:ascii="Calibri" w:eastAsia="Times New Roman" w:hAnsi="Calibri" w:cs="Times New Roman"/>
                <w:color w:val="000000"/>
                <w:sz w:val="22"/>
                <w:szCs w:val="22"/>
              </w:rPr>
              <w:t>$(4,184)</w:t>
            </w:r>
          </w:p>
        </w:tc>
      </w:tr>
      <w:tr w:rsidR="00561167" w:rsidRPr="00AC1097" w14:paraId="6A362B26" w14:textId="77777777" w:rsidTr="002F0078">
        <w:trPr>
          <w:trHeight w:val="300"/>
          <w:jc w:val="center"/>
        </w:trPr>
        <w:tc>
          <w:tcPr>
            <w:tcW w:w="2845" w:type="dxa"/>
            <w:tcBorders>
              <w:top w:val="single" w:sz="4" w:space="0" w:color="auto"/>
              <w:left w:val="nil"/>
              <w:bottom w:val="single" w:sz="4" w:space="0" w:color="auto"/>
              <w:right w:val="nil"/>
            </w:tcBorders>
            <w:shd w:val="clear" w:color="auto" w:fill="auto"/>
            <w:vAlign w:val="bottom"/>
            <w:hideMark/>
          </w:tcPr>
          <w:p w14:paraId="0A7F2D0F" w14:textId="77777777" w:rsidR="00561167" w:rsidRPr="00AC1097" w:rsidRDefault="00561167" w:rsidP="00561167">
            <w:pPr>
              <w:rPr>
                <w:rFonts w:ascii="Calibri" w:eastAsia="Times New Roman" w:hAnsi="Calibri" w:cs="Times New Roman"/>
                <w:b/>
                <w:bCs/>
                <w:color w:val="000000"/>
                <w:sz w:val="22"/>
                <w:szCs w:val="22"/>
              </w:rPr>
            </w:pPr>
            <w:r w:rsidRPr="00AC1097">
              <w:rPr>
                <w:rFonts w:ascii="Calibri" w:eastAsia="Times New Roman" w:hAnsi="Calibri" w:cs="Times New Roman"/>
                <w:b/>
                <w:bCs/>
                <w:color w:val="000000"/>
                <w:sz w:val="22"/>
                <w:szCs w:val="22"/>
              </w:rPr>
              <w:t xml:space="preserve">  Total Pension Expense</w:t>
            </w:r>
          </w:p>
        </w:tc>
        <w:tc>
          <w:tcPr>
            <w:tcW w:w="1241" w:type="dxa"/>
            <w:tcBorders>
              <w:top w:val="single" w:sz="4" w:space="0" w:color="auto"/>
              <w:left w:val="nil"/>
              <w:bottom w:val="single" w:sz="4" w:space="0" w:color="auto"/>
              <w:right w:val="nil"/>
            </w:tcBorders>
            <w:shd w:val="clear" w:color="auto" w:fill="auto"/>
            <w:noWrap/>
            <w:vAlign w:val="bottom"/>
          </w:tcPr>
          <w:p w14:paraId="4BF05358" w14:textId="77777777" w:rsidR="00561167" w:rsidRPr="00AC1097" w:rsidRDefault="00561167" w:rsidP="00561167">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$174,182</w:t>
            </w:r>
          </w:p>
        </w:tc>
        <w:tc>
          <w:tcPr>
            <w:tcW w:w="1251" w:type="dxa"/>
            <w:tcBorders>
              <w:top w:val="single" w:sz="4" w:space="0" w:color="auto"/>
              <w:left w:val="nil"/>
              <w:bottom w:val="single" w:sz="4" w:space="0" w:color="auto"/>
              <w:right w:val="nil"/>
            </w:tcBorders>
            <w:shd w:val="clear" w:color="auto" w:fill="auto"/>
            <w:noWrap/>
            <w:vAlign w:val="bottom"/>
          </w:tcPr>
          <w:p w14:paraId="5DBA27F7" w14:textId="77777777" w:rsidR="00561167" w:rsidRPr="00AC1097" w:rsidRDefault="00561167" w:rsidP="00561167">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$587,964</w:t>
            </w:r>
          </w:p>
        </w:tc>
        <w:tc>
          <w:tcPr>
            <w:tcW w:w="1200" w:type="dxa"/>
            <w:tcBorders>
              <w:top w:val="single" w:sz="4" w:space="0" w:color="auto"/>
              <w:left w:val="nil"/>
              <w:bottom w:val="single" w:sz="4" w:space="0" w:color="auto"/>
              <w:right w:val="nil"/>
            </w:tcBorders>
            <w:shd w:val="clear" w:color="auto" w:fill="auto"/>
            <w:noWrap/>
            <w:vAlign w:val="bottom"/>
          </w:tcPr>
          <w:p w14:paraId="499C1622" w14:textId="77777777" w:rsidR="00561167" w:rsidRPr="00AC1097" w:rsidRDefault="00561167" w:rsidP="00561167">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$(203,854)</w:t>
            </w:r>
          </w:p>
        </w:tc>
        <w:tc>
          <w:tcPr>
            <w:tcW w:w="1135" w:type="dxa"/>
            <w:tcBorders>
              <w:top w:val="single" w:sz="4" w:space="0" w:color="auto"/>
              <w:left w:val="nil"/>
              <w:bottom w:val="single" w:sz="4" w:space="0" w:color="auto"/>
              <w:right w:val="nil"/>
            </w:tcBorders>
            <w:shd w:val="clear" w:color="auto" w:fill="auto"/>
            <w:noWrap/>
            <w:vAlign w:val="bottom"/>
          </w:tcPr>
          <w:p w14:paraId="0409E34F" w14:textId="77777777" w:rsidR="00561167" w:rsidRPr="00AC1097" w:rsidRDefault="00561167" w:rsidP="00561167">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$10,042</w:t>
            </w:r>
          </w:p>
        </w:tc>
        <w:tc>
          <w:tcPr>
            <w:tcW w:w="1595" w:type="dxa"/>
            <w:tcBorders>
              <w:top w:val="single" w:sz="4" w:space="0" w:color="auto"/>
              <w:left w:val="nil"/>
              <w:bottom w:val="single" w:sz="4" w:space="0" w:color="auto"/>
              <w:right w:val="nil"/>
            </w:tcBorders>
            <w:shd w:val="clear" w:color="auto" w:fill="auto"/>
            <w:noWrap/>
            <w:vAlign w:val="bottom"/>
          </w:tcPr>
          <w:p w14:paraId="0A61EFB8" w14:textId="77777777" w:rsidR="00561167" w:rsidRPr="00AC1097" w:rsidRDefault="00561167" w:rsidP="00561167">
            <w:pPr>
              <w:rPr>
                <w:rFonts w:ascii="Calibri" w:eastAsia="Times New Roman" w:hAnsi="Calibri" w:cs="Times New Roman"/>
                <w:b/>
                <w:bCs/>
                <w:color w:val="000000"/>
                <w:sz w:val="22"/>
                <w:szCs w:val="22"/>
              </w:rPr>
            </w:pPr>
            <w:r>
              <w:rPr>
                <w:rStyle w:val="CommentReference"/>
              </w:rPr>
              <w:commentReference w:id="37"/>
            </w:r>
            <w:r>
              <w:rPr>
                <w:rFonts w:ascii="Calibri" w:eastAsia="Times New Roman" w:hAnsi="Calibri" w:cs="Times New Roman"/>
                <w:b/>
                <w:bCs/>
                <w:color w:val="000000"/>
                <w:sz w:val="22"/>
                <w:szCs w:val="22"/>
              </w:rPr>
              <w:t>$568,332</w:t>
            </w:r>
          </w:p>
        </w:tc>
      </w:tr>
    </w:tbl>
    <w:p w14:paraId="48E073D2" w14:textId="250F47D3" w:rsidR="002F0078" w:rsidRDefault="002F0078" w:rsidP="00561167">
      <w:pPr>
        <w:autoSpaceDE w:val="0"/>
        <w:autoSpaceDN w:val="0"/>
        <w:adjustRightInd w:val="0"/>
        <w:rPr>
          <w:rFonts w:cs="Times New Roman"/>
          <w:b/>
          <w:highlight w:val="yellow"/>
        </w:rPr>
      </w:pPr>
    </w:p>
    <w:p w14:paraId="7F40AC4D" w14:textId="77777777" w:rsidR="00A85242" w:rsidRDefault="00A85242" w:rsidP="00561167">
      <w:pPr>
        <w:autoSpaceDE w:val="0"/>
        <w:autoSpaceDN w:val="0"/>
        <w:adjustRightInd w:val="0"/>
        <w:rPr>
          <w:rFonts w:cs="Times New Roman"/>
          <w:b/>
        </w:rPr>
      </w:pPr>
    </w:p>
    <w:p w14:paraId="748C5A75" w14:textId="77777777" w:rsidR="00561167" w:rsidRDefault="00561167" w:rsidP="00561167">
      <w:pPr>
        <w:autoSpaceDE w:val="0"/>
        <w:autoSpaceDN w:val="0"/>
        <w:adjustRightInd w:val="0"/>
        <w:rPr>
          <w:rFonts w:cs="Times New Roman"/>
          <w:b/>
        </w:rPr>
      </w:pPr>
      <w:r w:rsidRPr="00CD0C97">
        <w:rPr>
          <w:rFonts w:cs="Times New Roman"/>
          <w:b/>
        </w:rPr>
        <w:t>Changes in Proportionate Shares of Pension Liabilities</w:t>
      </w:r>
    </w:p>
    <w:p w14:paraId="42D7D1BA" w14:textId="6746B868" w:rsidR="00561167" w:rsidRDefault="00561167" w:rsidP="00561167">
      <w:pPr>
        <w:autoSpaceDE w:val="0"/>
        <w:autoSpaceDN w:val="0"/>
        <w:adjustRightInd w:val="0"/>
        <w:rPr>
          <w:rFonts w:cs="Times New Roman"/>
        </w:rPr>
      </w:pPr>
      <w:r>
        <w:rPr>
          <w:rFonts w:cs="Times New Roman"/>
        </w:rPr>
        <w:t xml:space="preserve">The changes to the College’s proportionate share of pension </w:t>
      </w:r>
      <w:r w:rsidRPr="000256C2">
        <w:rPr>
          <w:rFonts w:cs="Times New Roman"/>
        </w:rPr>
        <w:t>liabilities from 2015 to 2016 for</w:t>
      </w:r>
      <w:r>
        <w:rPr>
          <w:rFonts w:cs="Times New Roman"/>
        </w:rPr>
        <w:t xml:space="preserve"> each retirement plan are listed below:</w:t>
      </w:r>
    </w:p>
    <w:tbl>
      <w:tblPr>
        <w:tblW w:w="3920" w:type="dxa"/>
        <w:jc w:val="center"/>
        <w:tblLook w:val="04A0" w:firstRow="1" w:lastRow="0" w:firstColumn="1" w:lastColumn="0" w:noHBand="0" w:noVBand="1"/>
      </w:tblPr>
      <w:tblGrid>
        <w:gridCol w:w="1240"/>
        <w:gridCol w:w="1340"/>
        <w:gridCol w:w="1340"/>
      </w:tblGrid>
      <w:tr w:rsidR="00561167" w:rsidRPr="00AC1097" w14:paraId="5C93321A" w14:textId="77777777" w:rsidTr="00561167">
        <w:trPr>
          <w:trHeight w:val="300"/>
          <w:jc w:val="center"/>
        </w:trPr>
        <w:tc>
          <w:tcPr>
            <w:tcW w:w="1240" w:type="dxa"/>
            <w:tcBorders>
              <w:top w:val="nil"/>
              <w:left w:val="nil"/>
              <w:bottom w:val="single" w:sz="4" w:space="0" w:color="auto"/>
              <w:right w:val="nil"/>
            </w:tcBorders>
            <w:shd w:val="clear" w:color="auto" w:fill="auto"/>
            <w:noWrap/>
            <w:vAlign w:val="bottom"/>
            <w:hideMark/>
          </w:tcPr>
          <w:p w14:paraId="6C95A5E2" w14:textId="77777777" w:rsidR="00561167" w:rsidRPr="00AC1097" w:rsidRDefault="00561167" w:rsidP="00561167">
            <w:pPr>
              <w:rPr>
                <w:rFonts w:ascii="Calibri" w:eastAsia="Times New Roman" w:hAnsi="Calibri" w:cs="Times New Roman"/>
                <w:color w:val="000000"/>
                <w:sz w:val="22"/>
                <w:szCs w:val="22"/>
              </w:rPr>
            </w:pPr>
            <w:r w:rsidRPr="00AC1097">
              <w:rPr>
                <w:rFonts w:ascii="Calibri" w:eastAsia="Times New Roman" w:hAnsi="Calibri" w:cs="Times New Roman"/>
                <w:color w:val="000000"/>
                <w:sz w:val="22"/>
                <w:szCs w:val="22"/>
              </w:rPr>
              <w:t> </w:t>
            </w:r>
          </w:p>
        </w:tc>
        <w:tc>
          <w:tcPr>
            <w:tcW w:w="1340" w:type="dxa"/>
            <w:tcBorders>
              <w:top w:val="nil"/>
              <w:left w:val="nil"/>
              <w:bottom w:val="single" w:sz="4" w:space="0" w:color="auto"/>
              <w:right w:val="nil"/>
            </w:tcBorders>
            <w:shd w:val="clear" w:color="auto" w:fill="auto"/>
            <w:noWrap/>
            <w:vAlign w:val="bottom"/>
            <w:hideMark/>
          </w:tcPr>
          <w:p w14:paraId="4409BCB9" w14:textId="77777777" w:rsidR="00561167" w:rsidRPr="00AC1097" w:rsidRDefault="00561167" w:rsidP="00561167">
            <w:pPr>
              <w:jc w:val="right"/>
              <w:rPr>
                <w:rFonts w:ascii="Calibri" w:eastAsia="Times New Roman" w:hAnsi="Calibri" w:cs="Times New Roman"/>
                <w:b/>
                <w:bCs/>
                <w:color w:val="000000"/>
                <w:sz w:val="22"/>
                <w:szCs w:val="22"/>
              </w:rPr>
            </w:pPr>
            <w:r w:rsidRPr="00AC1097">
              <w:rPr>
                <w:rFonts w:ascii="Calibri" w:eastAsia="Times New Roman" w:hAnsi="Calibri" w:cs="Times New Roman"/>
                <w:b/>
                <w:bCs/>
                <w:color w:val="000000"/>
                <w:sz w:val="22"/>
                <w:szCs w:val="22"/>
              </w:rPr>
              <w:t>201</w:t>
            </w:r>
            <w:r>
              <w:rPr>
                <w:rFonts w:ascii="Calibri" w:eastAsia="Times New Roman" w:hAnsi="Calibri" w:cs="Times New Roman"/>
                <w:b/>
                <w:bCs/>
                <w:color w:val="000000"/>
                <w:sz w:val="22"/>
                <w:szCs w:val="22"/>
              </w:rPr>
              <w:t>5</w:t>
            </w:r>
          </w:p>
        </w:tc>
        <w:tc>
          <w:tcPr>
            <w:tcW w:w="1340" w:type="dxa"/>
            <w:tcBorders>
              <w:top w:val="nil"/>
              <w:left w:val="nil"/>
              <w:bottom w:val="single" w:sz="4" w:space="0" w:color="auto"/>
              <w:right w:val="nil"/>
            </w:tcBorders>
            <w:shd w:val="clear" w:color="auto" w:fill="auto"/>
            <w:noWrap/>
            <w:vAlign w:val="bottom"/>
            <w:hideMark/>
          </w:tcPr>
          <w:p w14:paraId="4499D528" w14:textId="77777777" w:rsidR="00561167" w:rsidRPr="00AC1097" w:rsidRDefault="00561167" w:rsidP="00561167">
            <w:pPr>
              <w:jc w:val="right"/>
              <w:rPr>
                <w:rFonts w:ascii="Calibri" w:eastAsia="Times New Roman" w:hAnsi="Calibri" w:cs="Times New Roman"/>
                <w:b/>
                <w:bCs/>
                <w:color w:val="000000"/>
                <w:sz w:val="22"/>
                <w:szCs w:val="22"/>
              </w:rPr>
            </w:pPr>
            <w:r w:rsidRPr="00AC1097">
              <w:rPr>
                <w:rFonts w:ascii="Calibri" w:eastAsia="Times New Roman" w:hAnsi="Calibri" w:cs="Times New Roman"/>
                <w:b/>
                <w:bCs/>
                <w:color w:val="000000"/>
                <w:sz w:val="22"/>
                <w:szCs w:val="22"/>
              </w:rPr>
              <w:t>201</w:t>
            </w:r>
            <w:r>
              <w:rPr>
                <w:rFonts w:ascii="Calibri" w:eastAsia="Times New Roman" w:hAnsi="Calibri" w:cs="Times New Roman"/>
                <w:b/>
                <w:bCs/>
                <w:color w:val="000000"/>
                <w:sz w:val="22"/>
                <w:szCs w:val="22"/>
              </w:rPr>
              <w:t>6</w:t>
            </w:r>
          </w:p>
        </w:tc>
      </w:tr>
      <w:tr w:rsidR="00561167" w:rsidRPr="00AC1097" w14:paraId="3109C377" w14:textId="77777777" w:rsidTr="00561167">
        <w:trPr>
          <w:trHeight w:val="300"/>
          <w:jc w:val="center"/>
        </w:trPr>
        <w:tc>
          <w:tcPr>
            <w:tcW w:w="1240" w:type="dxa"/>
            <w:tcBorders>
              <w:top w:val="nil"/>
              <w:left w:val="nil"/>
              <w:bottom w:val="nil"/>
              <w:right w:val="nil"/>
            </w:tcBorders>
            <w:shd w:val="clear" w:color="auto" w:fill="auto"/>
            <w:noWrap/>
            <w:vAlign w:val="bottom"/>
            <w:hideMark/>
          </w:tcPr>
          <w:p w14:paraId="15F5EFBB" w14:textId="77777777" w:rsidR="00561167" w:rsidRPr="00AC1097" w:rsidRDefault="00561167" w:rsidP="00561167">
            <w:pPr>
              <w:rPr>
                <w:rFonts w:ascii="Calibri" w:eastAsia="Times New Roman" w:hAnsi="Calibri" w:cs="Times New Roman"/>
                <w:color w:val="000000"/>
                <w:sz w:val="22"/>
                <w:szCs w:val="22"/>
              </w:rPr>
            </w:pPr>
            <w:r w:rsidRPr="00AC1097">
              <w:rPr>
                <w:rFonts w:ascii="Calibri" w:eastAsia="Times New Roman" w:hAnsi="Calibri" w:cs="Times New Roman"/>
                <w:color w:val="000000"/>
                <w:sz w:val="22"/>
                <w:szCs w:val="22"/>
              </w:rPr>
              <w:t>PERS 1</w:t>
            </w:r>
          </w:p>
        </w:tc>
        <w:tc>
          <w:tcPr>
            <w:tcW w:w="1340" w:type="dxa"/>
            <w:tcBorders>
              <w:top w:val="nil"/>
              <w:left w:val="nil"/>
              <w:bottom w:val="nil"/>
              <w:right w:val="nil"/>
            </w:tcBorders>
            <w:shd w:val="clear" w:color="auto" w:fill="auto"/>
            <w:noWrap/>
            <w:vAlign w:val="bottom"/>
          </w:tcPr>
          <w:p w14:paraId="16FA9C12" w14:textId="77777777" w:rsidR="00561167" w:rsidRPr="00AC1097" w:rsidRDefault="00561167" w:rsidP="00561167">
            <w:pPr>
              <w:jc w:val="right"/>
              <w:rPr>
                <w:rFonts w:ascii="Calibri" w:eastAsia="Times New Roman" w:hAnsi="Calibri" w:cs="Times New Roman"/>
                <w:color w:val="000000"/>
                <w:sz w:val="22"/>
                <w:szCs w:val="22"/>
              </w:rPr>
            </w:pPr>
            <w:r w:rsidRPr="00F963C6">
              <w:rPr>
                <w:rFonts w:ascii="Calibri" w:eastAsia="Times New Roman" w:hAnsi="Calibri" w:cs="Times New Roman"/>
                <w:color w:val="000000"/>
                <w:sz w:val="22"/>
                <w:szCs w:val="22"/>
              </w:rPr>
              <w:t>0.073200</w:t>
            </w:r>
            <w:r>
              <w:rPr>
                <w:rFonts w:ascii="Calibri" w:eastAsia="Times New Roman" w:hAnsi="Calibri" w:cs="Times New Roman"/>
                <w:color w:val="000000"/>
                <w:sz w:val="22"/>
                <w:szCs w:val="22"/>
              </w:rPr>
              <w:t>%</w:t>
            </w:r>
          </w:p>
        </w:tc>
        <w:tc>
          <w:tcPr>
            <w:tcW w:w="1340" w:type="dxa"/>
            <w:tcBorders>
              <w:top w:val="nil"/>
              <w:left w:val="nil"/>
              <w:bottom w:val="nil"/>
              <w:right w:val="nil"/>
            </w:tcBorders>
            <w:shd w:val="clear" w:color="auto" w:fill="auto"/>
            <w:noWrap/>
            <w:vAlign w:val="bottom"/>
          </w:tcPr>
          <w:p w14:paraId="27422ECA" w14:textId="77777777" w:rsidR="00561167" w:rsidRPr="00AC1097" w:rsidRDefault="00561167" w:rsidP="00561167">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0.072244%</w:t>
            </w:r>
          </w:p>
        </w:tc>
      </w:tr>
      <w:tr w:rsidR="00561167" w:rsidRPr="00AC1097" w14:paraId="16DDEEC9" w14:textId="77777777" w:rsidTr="00561167">
        <w:trPr>
          <w:trHeight w:val="300"/>
          <w:jc w:val="center"/>
        </w:trPr>
        <w:tc>
          <w:tcPr>
            <w:tcW w:w="1240" w:type="dxa"/>
            <w:tcBorders>
              <w:top w:val="nil"/>
              <w:left w:val="nil"/>
              <w:bottom w:val="nil"/>
              <w:right w:val="nil"/>
            </w:tcBorders>
            <w:shd w:val="clear" w:color="auto" w:fill="auto"/>
            <w:noWrap/>
            <w:vAlign w:val="bottom"/>
            <w:hideMark/>
          </w:tcPr>
          <w:p w14:paraId="5E9C7C07" w14:textId="77777777" w:rsidR="00561167" w:rsidRPr="00AC1097" w:rsidRDefault="00561167" w:rsidP="00561167">
            <w:pPr>
              <w:rPr>
                <w:rFonts w:ascii="Calibri" w:eastAsia="Times New Roman" w:hAnsi="Calibri" w:cs="Times New Roman"/>
                <w:color w:val="000000"/>
                <w:sz w:val="22"/>
                <w:szCs w:val="22"/>
              </w:rPr>
            </w:pPr>
            <w:r w:rsidRPr="00AC1097">
              <w:rPr>
                <w:rFonts w:ascii="Calibri" w:eastAsia="Times New Roman" w:hAnsi="Calibri" w:cs="Times New Roman"/>
                <w:color w:val="000000"/>
                <w:sz w:val="22"/>
                <w:szCs w:val="22"/>
              </w:rPr>
              <w:t>PER 2/3</w:t>
            </w:r>
          </w:p>
        </w:tc>
        <w:tc>
          <w:tcPr>
            <w:tcW w:w="1340" w:type="dxa"/>
            <w:tcBorders>
              <w:top w:val="nil"/>
              <w:left w:val="nil"/>
              <w:bottom w:val="nil"/>
              <w:right w:val="nil"/>
            </w:tcBorders>
            <w:shd w:val="clear" w:color="auto" w:fill="auto"/>
            <w:noWrap/>
            <w:vAlign w:val="bottom"/>
          </w:tcPr>
          <w:p w14:paraId="344F038B" w14:textId="77777777" w:rsidR="00561167" w:rsidRPr="00AC1097" w:rsidRDefault="00561167" w:rsidP="00561167">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0.083494%</w:t>
            </w:r>
          </w:p>
        </w:tc>
        <w:tc>
          <w:tcPr>
            <w:tcW w:w="1340" w:type="dxa"/>
            <w:tcBorders>
              <w:top w:val="nil"/>
              <w:left w:val="nil"/>
              <w:bottom w:val="nil"/>
              <w:right w:val="nil"/>
            </w:tcBorders>
            <w:shd w:val="clear" w:color="auto" w:fill="auto"/>
            <w:noWrap/>
            <w:vAlign w:val="bottom"/>
          </w:tcPr>
          <w:p w14:paraId="5647ADA8" w14:textId="77777777" w:rsidR="00561167" w:rsidRPr="00AC1097" w:rsidRDefault="00561167" w:rsidP="00561167">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0.083115%</w:t>
            </w:r>
          </w:p>
        </w:tc>
      </w:tr>
      <w:tr w:rsidR="00561167" w:rsidRPr="00AC1097" w14:paraId="0AF23731" w14:textId="77777777" w:rsidTr="00561167">
        <w:trPr>
          <w:trHeight w:val="300"/>
          <w:jc w:val="center"/>
        </w:trPr>
        <w:tc>
          <w:tcPr>
            <w:tcW w:w="1240" w:type="dxa"/>
            <w:tcBorders>
              <w:top w:val="nil"/>
              <w:left w:val="nil"/>
              <w:bottom w:val="nil"/>
              <w:right w:val="nil"/>
            </w:tcBorders>
            <w:shd w:val="clear" w:color="auto" w:fill="auto"/>
            <w:noWrap/>
            <w:vAlign w:val="bottom"/>
            <w:hideMark/>
          </w:tcPr>
          <w:p w14:paraId="5B1E45F2" w14:textId="77777777" w:rsidR="00561167" w:rsidRPr="00AC1097" w:rsidRDefault="00561167" w:rsidP="00561167">
            <w:pPr>
              <w:rPr>
                <w:rFonts w:ascii="Calibri" w:eastAsia="Times New Roman" w:hAnsi="Calibri" w:cs="Times New Roman"/>
                <w:color w:val="000000"/>
                <w:sz w:val="22"/>
                <w:szCs w:val="22"/>
              </w:rPr>
            </w:pPr>
            <w:r w:rsidRPr="00AC1097">
              <w:rPr>
                <w:rFonts w:ascii="Calibri" w:eastAsia="Times New Roman" w:hAnsi="Calibri" w:cs="Times New Roman"/>
                <w:color w:val="000000"/>
                <w:sz w:val="22"/>
                <w:szCs w:val="22"/>
              </w:rPr>
              <w:t>TRS 1</w:t>
            </w:r>
          </w:p>
        </w:tc>
        <w:tc>
          <w:tcPr>
            <w:tcW w:w="1340" w:type="dxa"/>
            <w:tcBorders>
              <w:top w:val="nil"/>
              <w:left w:val="nil"/>
              <w:bottom w:val="nil"/>
              <w:right w:val="nil"/>
            </w:tcBorders>
            <w:shd w:val="clear" w:color="auto" w:fill="auto"/>
            <w:noWrap/>
            <w:vAlign w:val="bottom"/>
          </w:tcPr>
          <w:p w14:paraId="336E4635" w14:textId="77777777" w:rsidR="00561167" w:rsidRPr="00AC1097" w:rsidRDefault="00561167" w:rsidP="00561167">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0.013044%</w:t>
            </w:r>
          </w:p>
        </w:tc>
        <w:tc>
          <w:tcPr>
            <w:tcW w:w="1340" w:type="dxa"/>
            <w:tcBorders>
              <w:top w:val="nil"/>
              <w:left w:val="nil"/>
              <w:bottom w:val="nil"/>
              <w:right w:val="nil"/>
            </w:tcBorders>
            <w:shd w:val="clear" w:color="auto" w:fill="auto"/>
            <w:noWrap/>
            <w:vAlign w:val="bottom"/>
          </w:tcPr>
          <w:p w14:paraId="28882B4F" w14:textId="77777777" w:rsidR="00561167" w:rsidRPr="00AC1097" w:rsidRDefault="00561167" w:rsidP="00561167">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0.006626%</w:t>
            </w:r>
          </w:p>
        </w:tc>
      </w:tr>
      <w:tr w:rsidR="00561167" w:rsidRPr="00AC1097" w14:paraId="4A365970" w14:textId="77777777" w:rsidTr="00561167">
        <w:trPr>
          <w:trHeight w:val="300"/>
          <w:jc w:val="center"/>
        </w:trPr>
        <w:tc>
          <w:tcPr>
            <w:tcW w:w="1240" w:type="dxa"/>
            <w:tcBorders>
              <w:top w:val="nil"/>
              <w:left w:val="nil"/>
              <w:bottom w:val="nil"/>
              <w:right w:val="nil"/>
            </w:tcBorders>
            <w:shd w:val="clear" w:color="auto" w:fill="auto"/>
            <w:noWrap/>
            <w:vAlign w:val="bottom"/>
            <w:hideMark/>
          </w:tcPr>
          <w:p w14:paraId="093BFCD7" w14:textId="77777777" w:rsidR="00561167" w:rsidRPr="00AC1097" w:rsidRDefault="00561167" w:rsidP="00561167">
            <w:pPr>
              <w:rPr>
                <w:rFonts w:ascii="Calibri" w:eastAsia="Times New Roman" w:hAnsi="Calibri" w:cs="Times New Roman"/>
                <w:color w:val="000000"/>
                <w:sz w:val="22"/>
                <w:szCs w:val="22"/>
              </w:rPr>
            </w:pPr>
            <w:r w:rsidRPr="00AC1097">
              <w:rPr>
                <w:rFonts w:ascii="Calibri" w:eastAsia="Times New Roman" w:hAnsi="Calibri" w:cs="Times New Roman"/>
                <w:color w:val="000000"/>
                <w:sz w:val="22"/>
                <w:szCs w:val="22"/>
              </w:rPr>
              <w:t>TRS 2/3</w:t>
            </w:r>
          </w:p>
        </w:tc>
        <w:tc>
          <w:tcPr>
            <w:tcW w:w="1340" w:type="dxa"/>
            <w:tcBorders>
              <w:top w:val="nil"/>
              <w:left w:val="nil"/>
              <w:bottom w:val="nil"/>
              <w:right w:val="nil"/>
            </w:tcBorders>
            <w:shd w:val="clear" w:color="auto" w:fill="auto"/>
            <w:noWrap/>
            <w:vAlign w:val="bottom"/>
          </w:tcPr>
          <w:p w14:paraId="5D5F73C2" w14:textId="77777777" w:rsidR="00561167" w:rsidRPr="00AC1097" w:rsidRDefault="00561167" w:rsidP="00561167">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0.002490%</w:t>
            </w:r>
          </w:p>
        </w:tc>
        <w:tc>
          <w:tcPr>
            <w:tcW w:w="1340" w:type="dxa"/>
            <w:tcBorders>
              <w:top w:val="nil"/>
              <w:left w:val="nil"/>
              <w:bottom w:val="nil"/>
              <w:right w:val="nil"/>
            </w:tcBorders>
            <w:shd w:val="clear" w:color="auto" w:fill="auto"/>
            <w:noWrap/>
            <w:vAlign w:val="bottom"/>
          </w:tcPr>
          <w:p w14:paraId="31E8C766" w14:textId="77777777" w:rsidR="00561167" w:rsidRPr="00AC1097" w:rsidRDefault="00561167" w:rsidP="00561167">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0.002257%</w:t>
            </w:r>
          </w:p>
        </w:tc>
      </w:tr>
    </w:tbl>
    <w:p w14:paraId="2211FF2C" w14:textId="77777777" w:rsidR="00561167" w:rsidRDefault="00561167" w:rsidP="00561167"/>
    <w:p w14:paraId="2776FA87" w14:textId="77777777" w:rsidR="00561167" w:rsidRDefault="00561167" w:rsidP="00561167"/>
    <w:p w14:paraId="1A75C1B8" w14:textId="77777777" w:rsidR="00561167" w:rsidRPr="00FF5C1D" w:rsidRDefault="00561167" w:rsidP="00561167">
      <w:pPr>
        <w:rPr>
          <w:b/>
        </w:rPr>
      </w:pPr>
      <w:r>
        <w:rPr>
          <w:rFonts w:cs="Times New Roman"/>
        </w:rPr>
        <w:lastRenderedPageBreak/>
        <w:t>The College’s proportion of the net pension liability was based on a projection of the College’s long-term share of contributions to the pension plan to the projected contributions of all participating state agencies, actuarially determined.</w:t>
      </w:r>
      <w:r>
        <w:rPr>
          <w:rFonts w:cs="Times New Roman"/>
        </w:rPr>
        <w:br/>
      </w:r>
      <w:r>
        <w:rPr>
          <w:rFonts w:cs="Times New Roman"/>
        </w:rPr>
        <w:br/>
      </w:r>
      <w:r w:rsidRPr="00FF5C1D">
        <w:rPr>
          <w:b/>
        </w:rPr>
        <w:t>Actuarial Assumptions</w:t>
      </w:r>
    </w:p>
    <w:p w14:paraId="32957DEC" w14:textId="77777777" w:rsidR="00561167" w:rsidRDefault="00561167" w:rsidP="00561167">
      <w:r w:rsidRPr="002A7269">
        <w:t xml:space="preserve">The total pension liability was determined by an actuarial valuation as </w:t>
      </w:r>
      <w:r w:rsidRPr="00F963C6">
        <w:t>of June 30, 2015, using</w:t>
      </w:r>
      <w:r w:rsidRPr="002A7269">
        <w:t xml:space="preserve"> the following actuarial assumptions, applied to all peri</w:t>
      </w:r>
      <w:r>
        <w:t xml:space="preserve">ods included in the </w:t>
      </w:r>
      <w:commentRangeStart w:id="38"/>
      <w:r>
        <w:t>measurement</w:t>
      </w:r>
      <w:commentRangeEnd w:id="38"/>
      <w:r>
        <w:rPr>
          <w:rStyle w:val="CommentReference"/>
        </w:rPr>
        <w:commentReference w:id="38"/>
      </w:r>
      <w:r>
        <w:t>:</w:t>
      </w:r>
    </w:p>
    <w:p w14:paraId="2C0C848D" w14:textId="77777777" w:rsidR="00561167" w:rsidRDefault="00561167" w:rsidP="00561167"/>
    <w:p w14:paraId="7745E970" w14:textId="77777777" w:rsidR="00561167" w:rsidRDefault="00561167" w:rsidP="00561167">
      <w:pPr>
        <w:pStyle w:val="ListParagraph"/>
        <w:numPr>
          <w:ilvl w:val="0"/>
          <w:numId w:val="18"/>
        </w:numPr>
        <w:jc w:val="center"/>
      </w:pPr>
      <w:r>
        <w:t>Inflation</w:t>
      </w:r>
      <w:r>
        <w:tab/>
      </w:r>
      <w:r>
        <w:tab/>
      </w:r>
      <w:r>
        <w:tab/>
        <w:t>3.00%</w:t>
      </w:r>
    </w:p>
    <w:p w14:paraId="5019742F" w14:textId="77777777" w:rsidR="00561167" w:rsidRDefault="00561167" w:rsidP="00561167">
      <w:pPr>
        <w:pStyle w:val="ListParagraph"/>
        <w:numPr>
          <w:ilvl w:val="0"/>
          <w:numId w:val="18"/>
        </w:numPr>
        <w:jc w:val="center"/>
      </w:pPr>
      <w:r>
        <w:t xml:space="preserve">Salary Increases </w:t>
      </w:r>
      <w:r>
        <w:tab/>
      </w:r>
      <w:r>
        <w:tab/>
        <w:t>3.75%</w:t>
      </w:r>
    </w:p>
    <w:p w14:paraId="7B8B0AB5" w14:textId="77777777" w:rsidR="00561167" w:rsidRDefault="00561167" w:rsidP="00561167">
      <w:pPr>
        <w:pStyle w:val="ListParagraph"/>
        <w:numPr>
          <w:ilvl w:val="0"/>
          <w:numId w:val="18"/>
        </w:numPr>
        <w:jc w:val="center"/>
      </w:pPr>
      <w:r>
        <w:t>Investment rate of return</w:t>
      </w:r>
      <w:r>
        <w:tab/>
        <w:t>7.50%</w:t>
      </w:r>
      <w:r>
        <w:br/>
      </w:r>
    </w:p>
    <w:p w14:paraId="2026C794" w14:textId="77777777" w:rsidR="00561167" w:rsidRDefault="00561167" w:rsidP="00561167">
      <w:r>
        <w:t>Mortality rates were based on the RP-2000 Combined Healthy Table and Combined Disabled Table published by the Society of Actuaries. The Office of the State Actuary applied offsets to the base table and recognized future improvements in mortality by projecting the mortality rates using 100 percent Scale BB. Mortality rates are applied on a generational basis, meaning members are assumed to receive additional mortality improvements in each future year, throughout their lifetime.</w:t>
      </w:r>
      <w:r>
        <w:br/>
      </w:r>
    </w:p>
    <w:p w14:paraId="0AC33C21" w14:textId="77777777" w:rsidR="00561167" w:rsidRPr="001A3B78" w:rsidRDefault="00561167" w:rsidP="00561167">
      <w:pPr>
        <w:rPr>
          <w:b/>
        </w:rPr>
      </w:pPr>
      <w:r w:rsidRPr="001A3B78">
        <w:rPr>
          <w:b/>
        </w:rPr>
        <w:t xml:space="preserve">Discount </w:t>
      </w:r>
      <w:commentRangeStart w:id="39"/>
      <w:r w:rsidRPr="001A3B78">
        <w:rPr>
          <w:b/>
        </w:rPr>
        <w:t>Rate</w:t>
      </w:r>
      <w:commentRangeEnd w:id="39"/>
      <w:r>
        <w:rPr>
          <w:rStyle w:val="CommentReference"/>
        </w:rPr>
        <w:commentReference w:id="39"/>
      </w:r>
    </w:p>
    <w:p w14:paraId="7EE67CC6" w14:textId="77777777" w:rsidR="00561167" w:rsidRDefault="00561167" w:rsidP="00561167">
      <w:r>
        <w:t>The discount rate used to measure the total pension liability was 7.5 percent, the same as the</w:t>
      </w:r>
    </w:p>
    <w:p w14:paraId="6B4DC05F" w14:textId="77777777" w:rsidR="00561167" w:rsidRDefault="00561167" w:rsidP="00561167">
      <w:r>
        <w:t xml:space="preserve">prior measurement date. To determine the discount rate, an asset sufficiency test was completed to test whether the pension plan’s fiduciary net position was sufficient to make all projected future benefit payments of current plan members. Consistent with current law, the completed asset sufficiency test included an assumed 7.7 percent long-term discount rate to determine funding liabilities for calculating future contribution rate requirements. </w:t>
      </w:r>
      <w:r>
        <w:br/>
      </w:r>
      <w:r>
        <w:br/>
        <w:t xml:space="preserve">Consistent with the long-term expected rate of return, a 7.5 percent future investment rate of return on invested assets was assumed for the test. Contributions from plan members and employers are assumed to continue to be made at contractually required rates (including TRS Plan 2/3, whose rates include a component for the TRS Plan 1 liability). </w:t>
      </w:r>
      <w:r>
        <w:br/>
      </w:r>
      <w:r>
        <w:br/>
        <w:t>Based on those assumptions, the pension plan’s fiduciary net position was projected to be available to make all projected future benefit payments of current plan members. Therefore, the long-term expected rate of return of 7.5 percent on pension plan investments was applied to determine the total pension liability.</w:t>
      </w:r>
    </w:p>
    <w:p w14:paraId="20D9F3E0" w14:textId="77777777" w:rsidR="00561167" w:rsidRDefault="00561167" w:rsidP="00561167"/>
    <w:p w14:paraId="646D997C" w14:textId="77777777" w:rsidR="00561167" w:rsidRPr="00FF5C1D" w:rsidRDefault="00561167" w:rsidP="00561167">
      <w:pPr>
        <w:rPr>
          <w:b/>
        </w:rPr>
      </w:pPr>
      <w:r w:rsidRPr="00FF5C1D">
        <w:rPr>
          <w:b/>
        </w:rPr>
        <w:t>Sensitivity of the net pension liability to changes in the discount rate</w:t>
      </w:r>
    </w:p>
    <w:p w14:paraId="5BA62454" w14:textId="77777777" w:rsidR="00561167" w:rsidRDefault="00561167" w:rsidP="00561167">
      <w:r>
        <w:t>The following presents the net pension liability of the College calculated using the discount rate of 7.50 percent, as well as what the College’s net pension liability would be if it were calculated using a discount rate that is 1-percentage-point lower (6.50 percent) or 1-percentage-point higher (8.50 percent) than the current rate.</w:t>
      </w:r>
    </w:p>
    <w:p w14:paraId="0FCC9524" w14:textId="77777777" w:rsidR="00561167" w:rsidRDefault="00561167" w:rsidP="00561167"/>
    <w:tbl>
      <w:tblPr>
        <w:tblW w:w="6765" w:type="dxa"/>
        <w:jc w:val="center"/>
        <w:tblLook w:val="04A0" w:firstRow="1" w:lastRow="0" w:firstColumn="1" w:lastColumn="0" w:noHBand="0" w:noVBand="1"/>
      </w:tblPr>
      <w:tblGrid>
        <w:gridCol w:w="1526"/>
        <w:gridCol w:w="1819"/>
        <w:gridCol w:w="1530"/>
        <w:gridCol w:w="1890"/>
      </w:tblGrid>
      <w:tr w:rsidR="00561167" w:rsidRPr="00C92456" w14:paraId="1939DC4C" w14:textId="77777777" w:rsidTr="002F0078">
        <w:trPr>
          <w:trHeight w:val="531"/>
          <w:jc w:val="center"/>
        </w:trPr>
        <w:tc>
          <w:tcPr>
            <w:tcW w:w="1526" w:type="dxa"/>
            <w:tcBorders>
              <w:top w:val="nil"/>
              <w:left w:val="nil"/>
              <w:bottom w:val="nil"/>
              <w:right w:val="nil"/>
            </w:tcBorders>
            <w:shd w:val="clear" w:color="auto" w:fill="auto"/>
            <w:vAlign w:val="bottom"/>
            <w:hideMark/>
          </w:tcPr>
          <w:p w14:paraId="36824BC3" w14:textId="77777777" w:rsidR="00561167" w:rsidRPr="00CD0C97" w:rsidRDefault="00561167" w:rsidP="00561167">
            <w:pPr>
              <w:rPr>
                <w:rFonts w:ascii="Calibri" w:eastAsia="Times New Roman" w:hAnsi="Calibri" w:cs="Times New Roman"/>
                <w:b/>
                <w:bCs/>
                <w:color w:val="000000"/>
                <w:sz w:val="20"/>
                <w:szCs w:val="20"/>
              </w:rPr>
            </w:pPr>
          </w:p>
        </w:tc>
        <w:tc>
          <w:tcPr>
            <w:tcW w:w="1819" w:type="dxa"/>
            <w:tcBorders>
              <w:top w:val="nil"/>
              <w:left w:val="nil"/>
              <w:bottom w:val="nil"/>
              <w:right w:val="nil"/>
            </w:tcBorders>
            <w:shd w:val="clear" w:color="auto" w:fill="auto"/>
            <w:vAlign w:val="bottom"/>
            <w:hideMark/>
          </w:tcPr>
          <w:p w14:paraId="3FA14ED5" w14:textId="77777777" w:rsidR="00561167" w:rsidRPr="00CD0C97" w:rsidRDefault="00561167" w:rsidP="00561167">
            <w:pPr>
              <w:jc w:val="center"/>
              <w:rPr>
                <w:rFonts w:ascii="Calibri" w:eastAsia="Times New Roman" w:hAnsi="Calibri" w:cs="Times New Roman"/>
                <w:b/>
                <w:bCs/>
                <w:color w:val="000000"/>
                <w:sz w:val="20"/>
                <w:szCs w:val="20"/>
              </w:rPr>
            </w:pPr>
            <w:r w:rsidRPr="00CD0C97">
              <w:rPr>
                <w:rFonts w:ascii="Calibri" w:eastAsia="Times New Roman" w:hAnsi="Calibri" w:cs="Times New Roman"/>
                <w:b/>
                <w:bCs/>
                <w:color w:val="000000"/>
                <w:sz w:val="20"/>
                <w:szCs w:val="20"/>
              </w:rPr>
              <w:t>1% Decrease</w:t>
            </w:r>
          </w:p>
        </w:tc>
        <w:tc>
          <w:tcPr>
            <w:tcW w:w="1530" w:type="dxa"/>
            <w:tcBorders>
              <w:top w:val="nil"/>
              <w:left w:val="nil"/>
              <w:bottom w:val="nil"/>
              <w:right w:val="nil"/>
            </w:tcBorders>
            <w:shd w:val="clear" w:color="auto" w:fill="auto"/>
            <w:vAlign w:val="bottom"/>
            <w:hideMark/>
          </w:tcPr>
          <w:p w14:paraId="2A5A16CC" w14:textId="77777777" w:rsidR="00561167" w:rsidRPr="00CD0C97" w:rsidRDefault="00561167" w:rsidP="00561167">
            <w:pPr>
              <w:jc w:val="center"/>
              <w:rPr>
                <w:rFonts w:ascii="Calibri" w:eastAsia="Times New Roman" w:hAnsi="Calibri" w:cs="Times New Roman"/>
                <w:b/>
                <w:bCs/>
                <w:color w:val="000000"/>
                <w:sz w:val="20"/>
                <w:szCs w:val="20"/>
              </w:rPr>
            </w:pPr>
            <w:r w:rsidRPr="00CD0C97">
              <w:rPr>
                <w:rFonts w:ascii="Calibri" w:eastAsia="Times New Roman" w:hAnsi="Calibri" w:cs="Times New Roman"/>
                <w:b/>
                <w:bCs/>
                <w:color w:val="000000"/>
                <w:sz w:val="20"/>
                <w:szCs w:val="20"/>
              </w:rPr>
              <w:t>Current Discount Rate</w:t>
            </w:r>
          </w:p>
        </w:tc>
        <w:tc>
          <w:tcPr>
            <w:tcW w:w="1890" w:type="dxa"/>
            <w:tcBorders>
              <w:top w:val="nil"/>
              <w:left w:val="nil"/>
              <w:bottom w:val="nil"/>
              <w:right w:val="nil"/>
            </w:tcBorders>
            <w:shd w:val="clear" w:color="auto" w:fill="auto"/>
            <w:vAlign w:val="bottom"/>
            <w:hideMark/>
          </w:tcPr>
          <w:p w14:paraId="5D296CA5" w14:textId="77777777" w:rsidR="00561167" w:rsidRPr="00CD0C97" w:rsidRDefault="00561167" w:rsidP="00561167">
            <w:pPr>
              <w:jc w:val="center"/>
              <w:rPr>
                <w:rFonts w:ascii="Calibri" w:eastAsia="Times New Roman" w:hAnsi="Calibri" w:cs="Times New Roman"/>
                <w:b/>
                <w:bCs/>
                <w:color w:val="000000"/>
                <w:sz w:val="20"/>
                <w:szCs w:val="20"/>
              </w:rPr>
            </w:pPr>
            <w:r w:rsidRPr="00CD0C97">
              <w:rPr>
                <w:rFonts w:ascii="Calibri" w:eastAsia="Times New Roman" w:hAnsi="Calibri" w:cs="Times New Roman"/>
                <w:b/>
                <w:bCs/>
                <w:color w:val="000000"/>
                <w:sz w:val="20"/>
                <w:szCs w:val="20"/>
              </w:rPr>
              <w:t>1% Increase</w:t>
            </w:r>
          </w:p>
        </w:tc>
      </w:tr>
      <w:tr w:rsidR="00561167" w:rsidRPr="00C92456" w14:paraId="691DD689" w14:textId="77777777" w:rsidTr="002F0078">
        <w:trPr>
          <w:trHeight w:val="300"/>
          <w:jc w:val="center"/>
        </w:trPr>
        <w:tc>
          <w:tcPr>
            <w:tcW w:w="1526" w:type="dxa"/>
            <w:tcBorders>
              <w:top w:val="nil"/>
              <w:left w:val="nil"/>
              <w:bottom w:val="single" w:sz="4" w:space="0" w:color="auto"/>
              <w:right w:val="nil"/>
            </w:tcBorders>
            <w:shd w:val="clear" w:color="auto" w:fill="auto"/>
            <w:noWrap/>
            <w:vAlign w:val="bottom"/>
            <w:hideMark/>
          </w:tcPr>
          <w:p w14:paraId="5BC507BB" w14:textId="77777777" w:rsidR="00561167" w:rsidRPr="00CD0C97" w:rsidRDefault="00561167" w:rsidP="00561167">
            <w:pPr>
              <w:rPr>
                <w:rFonts w:ascii="Calibri" w:eastAsia="Times New Roman" w:hAnsi="Calibri" w:cs="Times New Roman"/>
                <w:b/>
                <w:bCs/>
                <w:color w:val="000000"/>
                <w:sz w:val="20"/>
                <w:szCs w:val="20"/>
              </w:rPr>
            </w:pPr>
            <w:r w:rsidRPr="00CD0C97">
              <w:rPr>
                <w:rFonts w:ascii="Calibri" w:eastAsia="Times New Roman" w:hAnsi="Calibri" w:cs="Times New Roman"/>
                <w:b/>
                <w:bCs/>
                <w:color w:val="000000"/>
                <w:sz w:val="20"/>
                <w:szCs w:val="20"/>
              </w:rPr>
              <w:t>Pension Plan</w:t>
            </w:r>
          </w:p>
        </w:tc>
        <w:tc>
          <w:tcPr>
            <w:tcW w:w="1819" w:type="dxa"/>
            <w:tcBorders>
              <w:top w:val="nil"/>
              <w:left w:val="nil"/>
              <w:bottom w:val="single" w:sz="4" w:space="0" w:color="auto"/>
              <w:right w:val="nil"/>
            </w:tcBorders>
            <w:shd w:val="clear" w:color="auto" w:fill="auto"/>
            <w:noWrap/>
            <w:vAlign w:val="bottom"/>
            <w:hideMark/>
          </w:tcPr>
          <w:p w14:paraId="30C66CA6" w14:textId="77777777" w:rsidR="00561167" w:rsidRPr="00CD0C97" w:rsidRDefault="00561167" w:rsidP="00561167">
            <w:pPr>
              <w:jc w:val="center"/>
              <w:rPr>
                <w:rFonts w:ascii="Calibri" w:eastAsia="Times New Roman" w:hAnsi="Calibri" w:cs="Times New Roman"/>
                <w:b/>
                <w:bCs/>
                <w:color w:val="000000"/>
                <w:sz w:val="20"/>
                <w:szCs w:val="20"/>
              </w:rPr>
            </w:pPr>
            <w:r w:rsidRPr="00CD0C97">
              <w:rPr>
                <w:rFonts w:ascii="Calibri" w:eastAsia="Times New Roman" w:hAnsi="Calibri" w:cs="Times New Roman"/>
                <w:b/>
                <w:bCs/>
                <w:color w:val="000000"/>
                <w:sz w:val="20"/>
                <w:szCs w:val="20"/>
              </w:rPr>
              <w:t>(6.50%)</w:t>
            </w:r>
          </w:p>
        </w:tc>
        <w:tc>
          <w:tcPr>
            <w:tcW w:w="1530" w:type="dxa"/>
            <w:tcBorders>
              <w:top w:val="nil"/>
              <w:left w:val="nil"/>
              <w:bottom w:val="single" w:sz="4" w:space="0" w:color="auto"/>
              <w:right w:val="nil"/>
            </w:tcBorders>
            <w:shd w:val="clear" w:color="auto" w:fill="auto"/>
            <w:noWrap/>
            <w:vAlign w:val="bottom"/>
            <w:hideMark/>
          </w:tcPr>
          <w:p w14:paraId="4742DC5E" w14:textId="77777777" w:rsidR="00561167" w:rsidRPr="00CD0C97" w:rsidRDefault="00561167" w:rsidP="00561167">
            <w:pPr>
              <w:jc w:val="center"/>
              <w:rPr>
                <w:rFonts w:ascii="Calibri" w:eastAsia="Times New Roman" w:hAnsi="Calibri" w:cs="Times New Roman"/>
                <w:b/>
                <w:bCs/>
                <w:color w:val="000000"/>
                <w:sz w:val="20"/>
                <w:szCs w:val="20"/>
              </w:rPr>
            </w:pPr>
            <w:r w:rsidRPr="00CD0C97">
              <w:rPr>
                <w:rFonts w:ascii="Calibri" w:eastAsia="Times New Roman" w:hAnsi="Calibri" w:cs="Times New Roman"/>
                <w:b/>
                <w:bCs/>
                <w:color w:val="000000"/>
                <w:sz w:val="20"/>
                <w:szCs w:val="20"/>
              </w:rPr>
              <w:t>(7.50%)</w:t>
            </w:r>
          </w:p>
        </w:tc>
        <w:tc>
          <w:tcPr>
            <w:tcW w:w="1890" w:type="dxa"/>
            <w:tcBorders>
              <w:top w:val="nil"/>
              <w:left w:val="nil"/>
              <w:bottom w:val="single" w:sz="4" w:space="0" w:color="auto"/>
              <w:right w:val="nil"/>
            </w:tcBorders>
            <w:shd w:val="clear" w:color="auto" w:fill="auto"/>
            <w:noWrap/>
            <w:vAlign w:val="bottom"/>
            <w:hideMark/>
          </w:tcPr>
          <w:p w14:paraId="6B0CE799" w14:textId="77777777" w:rsidR="00561167" w:rsidRPr="00CD0C97" w:rsidRDefault="00561167" w:rsidP="00561167">
            <w:pPr>
              <w:jc w:val="center"/>
              <w:rPr>
                <w:rFonts w:ascii="Calibri" w:eastAsia="Times New Roman" w:hAnsi="Calibri" w:cs="Times New Roman"/>
                <w:b/>
                <w:bCs/>
                <w:color w:val="000000"/>
                <w:sz w:val="20"/>
                <w:szCs w:val="20"/>
              </w:rPr>
            </w:pPr>
            <w:r w:rsidRPr="00CD0C97">
              <w:rPr>
                <w:rFonts w:ascii="Calibri" w:eastAsia="Times New Roman" w:hAnsi="Calibri" w:cs="Times New Roman"/>
                <w:b/>
                <w:bCs/>
                <w:color w:val="000000"/>
                <w:sz w:val="20"/>
                <w:szCs w:val="20"/>
              </w:rPr>
              <w:t>(8.50%)</w:t>
            </w:r>
          </w:p>
        </w:tc>
      </w:tr>
      <w:tr w:rsidR="00561167" w:rsidRPr="00C92456" w14:paraId="58454225" w14:textId="77777777" w:rsidTr="002F0078">
        <w:trPr>
          <w:cantSplit/>
          <w:trHeight w:val="300"/>
          <w:jc w:val="center"/>
        </w:trPr>
        <w:tc>
          <w:tcPr>
            <w:tcW w:w="1526" w:type="dxa"/>
            <w:tcBorders>
              <w:top w:val="nil"/>
              <w:left w:val="nil"/>
              <w:bottom w:val="nil"/>
              <w:right w:val="nil"/>
            </w:tcBorders>
            <w:shd w:val="clear" w:color="auto" w:fill="auto"/>
            <w:noWrap/>
            <w:vAlign w:val="bottom"/>
            <w:hideMark/>
          </w:tcPr>
          <w:p w14:paraId="38BC2CA6" w14:textId="77777777" w:rsidR="00561167" w:rsidRPr="00CD0C97" w:rsidRDefault="00561167" w:rsidP="00561167">
            <w:pPr>
              <w:rPr>
                <w:rFonts w:ascii="Calibri" w:eastAsia="Times New Roman" w:hAnsi="Calibri" w:cs="Times New Roman"/>
                <w:color w:val="000000"/>
                <w:sz w:val="20"/>
                <w:szCs w:val="20"/>
              </w:rPr>
            </w:pPr>
            <w:r w:rsidRPr="00CD0C97">
              <w:rPr>
                <w:rFonts w:ascii="Calibri" w:eastAsia="Times New Roman" w:hAnsi="Calibri" w:cs="Times New Roman"/>
                <w:color w:val="000000"/>
                <w:sz w:val="20"/>
                <w:szCs w:val="20"/>
              </w:rPr>
              <w:t>PERS Plan 1</w:t>
            </w:r>
          </w:p>
        </w:tc>
        <w:tc>
          <w:tcPr>
            <w:tcW w:w="1819" w:type="dxa"/>
            <w:tcBorders>
              <w:top w:val="nil"/>
              <w:left w:val="nil"/>
              <w:bottom w:val="nil"/>
              <w:right w:val="nil"/>
            </w:tcBorders>
            <w:shd w:val="clear" w:color="auto" w:fill="auto"/>
            <w:noWrap/>
            <w:vAlign w:val="bottom"/>
            <w:hideMark/>
          </w:tcPr>
          <w:p w14:paraId="26099ED8" w14:textId="77777777" w:rsidR="00561167" w:rsidRPr="00CD0C97" w:rsidRDefault="00561167" w:rsidP="00561167">
            <w:pPr>
              <w:rPr>
                <w:rFonts w:ascii="Calibri" w:eastAsia="Times New Roman" w:hAnsi="Calibri" w:cs="Times New Roman"/>
                <w:color w:val="000000"/>
                <w:sz w:val="20"/>
                <w:szCs w:val="20"/>
              </w:rPr>
            </w:pPr>
            <w:r w:rsidRPr="00CD0C97">
              <w:rPr>
                <w:rFonts w:ascii="Calibri" w:hAnsi="Calibri"/>
                <w:color w:val="000000"/>
                <w:sz w:val="20"/>
                <w:szCs w:val="20"/>
              </w:rPr>
              <w:t>4,678,694</w:t>
            </w:r>
          </w:p>
        </w:tc>
        <w:tc>
          <w:tcPr>
            <w:tcW w:w="1530" w:type="dxa"/>
            <w:tcBorders>
              <w:top w:val="nil"/>
              <w:left w:val="nil"/>
              <w:bottom w:val="nil"/>
              <w:right w:val="nil"/>
            </w:tcBorders>
            <w:shd w:val="clear" w:color="auto" w:fill="auto"/>
            <w:noWrap/>
            <w:vAlign w:val="bottom"/>
            <w:hideMark/>
          </w:tcPr>
          <w:p w14:paraId="5A1F8355" w14:textId="77777777" w:rsidR="00561167" w:rsidRPr="00CD0C97" w:rsidRDefault="00561167" w:rsidP="00561167">
            <w:pPr>
              <w:rPr>
                <w:rFonts w:ascii="Calibri" w:eastAsia="Times New Roman" w:hAnsi="Calibri" w:cs="Times New Roman"/>
                <w:color w:val="000000"/>
                <w:sz w:val="20"/>
                <w:szCs w:val="20"/>
              </w:rPr>
            </w:pPr>
            <w:r w:rsidRPr="00CD0C97">
              <w:rPr>
                <w:rFonts w:ascii="Calibri" w:eastAsia="Times New Roman" w:hAnsi="Calibri" w:cs="Times New Roman"/>
                <w:color w:val="000000"/>
                <w:sz w:val="20"/>
                <w:szCs w:val="20"/>
              </w:rPr>
              <w:t xml:space="preserve"> </w:t>
            </w:r>
          </w:p>
          <w:p w14:paraId="05FE3CEF" w14:textId="77777777" w:rsidR="00561167" w:rsidRPr="00CD0C97" w:rsidRDefault="00561167" w:rsidP="00561167">
            <w:pPr>
              <w:rPr>
                <w:rFonts w:ascii="Calibri" w:eastAsia="Times New Roman" w:hAnsi="Calibri" w:cs="Times New Roman"/>
                <w:color w:val="000000"/>
                <w:sz w:val="20"/>
                <w:szCs w:val="20"/>
              </w:rPr>
            </w:pPr>
            <w:r w:rsidRPr="00CD0C97">
              <w:rPr>
                <w:rFonts w:ascii="Calibri" w:hAnsi="Calibri"/>
                <w:color w:val="000000"/>
                <w:sz w:val="20"/>
                <w:szCs w:val="20"/>
              </w:rPr>
              <w:t>3,879,839</w:t>
            </w:r>
          </w:p>
        </w:tc>
        <w:tc>
          <w:tcPr>
            <w:tcW w:w="1890" w:type="dxa"/>
            <w:tcBorders>
              <w:top w:val="nil"/>
              <w:left w:val="nil"/>
              <w:bottom w:val="nil"/>
              <w:right w:val="nil"/>
            </w:tcBorders>
            <w:shd w:val="clear" w:color="auto" w:fill="auto"/>
            <w:noWrap/>
            <w:vAlign w:val="bottom"/>
            <w:hideMark/>
          </w:tcPr>
          <w:p w14:paraId="05744344" w14:textId="77777777" w:rsidR="00561167" w:rsidRPr="00CD0C97" w:rsidRDefault="00561167" w:rsidP="00561167">
            <w:pPr>
              <w:rPr>
                <w:rFonts w:ascii="Calibri" w:eastAsia="Times New Roman" w:hAnsi="Calibri" w:cs="Times New Roman"/>
                <w:color w:val="000000"/>
                <w:sz w:val="20"/>
                <w:szCs w:val="20"/>
              </w:rPr>
            </w:pPr>
            <w:r w:rsidRPr="00CD0C97">
              <w:rPr>
                <w:rFonts w:ascii="Calibri" w:hAnsi="Calibri"/>
                <w:color w:val="000000"/>
                <w:sz w:val="20"/>
                <w:szCs w:val="20"/>
              </w:rPr>
              <w:t>3,192,373</w:t>
            </w:r>
          </w:p>
        </w:tc>
      </w:tr>
      <w:tr w:rsidR="00561167" w:rsidRPr="00C92456" w14:paraId="2EB39E82" w14:textId="77777777" w:rsidTr="002F0078">
        <w:trPr>
          <w:cantSplit/>
          <w:trHeight w:val="300"/>
          <w:jc w:val="center"/>
        </w:trPr>
        <w:tc>
          <w:tcPr>
            <w:tcW w:w="1526" w:type="dxa"/>
            <w:tcBorders>
              <w:top w:val="nil"/>
              <w:left w:val="nil"/>
              <w:bottom w:val="nil"/>
              <w:right w:val="nil"/>
            </w:tcBorders>
            <w:shd w:val="clear" w:color="auto" w:fill="auto"/>
            <w:noWrap/>
            <w:vAlign w:val="bottom"/>
            <w:hideMark/>
          </w:tcPr>
          <w:p w14:paraId="7407795A" w14:textId="77777777" w:rsidR="00561167" w:rsidRPr="00CD0C97" w:rsidRDefault="00561167" w:rsidP="00561167">
            <w:pPr>
              <w:rPr>
                <w:rFonts w:ascii="Calibri" w:eastAsia="Times New Roman" w:hAnsi="Calibri" w:cs="Times New Roman"/>
                <w:color w:val="000000"/>
                <w:sz w:val="20"/>
                <w:szCs w:val="20"/>
              </w:rPr>
            </w:pPr>
            <w:r w:rsidRPr="00CD0C97">
              <w:rPr>
                <w:rFonts w:ascii="Calibri" w:eastAsia="Times New Roman" w:hAnsi="Calibri" w:cs="Times New Roman"/>
                <w:color w:val="000000"/>
                <w:sz w:val="20"/>
                <w:szCs w:val="20"/>
              </w:rPr>
              <w:t>PERS Plan 2/3</w:t>
            </w:r>
          </w:p>
        </w:tc>
        <w:tc>
          <w:tcPr>
            <w:tcW w:w="1819" w:type="dxa"/>
            <w:tcBorders>
              <w:top w:val="nil"/>
              <w:left w:val="nil"/>
              <w:bottom w:val="nil"/>
              <w:right w:val="nil"/>
            </w:tcBorders>
            <w:shd w:val="clear" w:color="auto" w:fill="auto"/>
            <w:noWrap/>
            <w:vAlign w:val="bottom"/>
            <w:hideMark/>
          </w:tcPr>
          <w:p w14:paraId="5DC771D2" w14:textId="77777777" w:rsidR="00561167" w:rsidRPr="00CD0C97" w:rsidRDefault="00561167" w:rsidP="00561167">
            <w:pPr>
              <w:rPr>
                <w:rFonts w:ascii="Calibri" w:eastAsia="Times New Roman" w:hAnsi="Calibri" w:cs="Times New Roman"/>
                <w:color w:val="000000"/>
                <w:sz w:val="20"/>
                <w:szCs w:val="20"/>
              </w:rPr>
            </w:pPr>
            <w:r w:rsidRPr="00CD0C97">
              <w:rPr>
                <w:rFonts w:ascii="Calibri" w:hAnsi="Calibri"/>
                <w:color w:val="000000"/>
                <w:sz w:val="20"/>
                <w:szCs w:val="20"/>
              </w:rPr>
              <w:t>7,704,923</w:t>
            </w:r>
          </w:p>
        </w:tc>
        <w:tc>
          <w:tcPr>
            <w:tcW w:w="1530" w:type="dxa"/>
            <w:tcBorders>
              <w:top w:val="nil"/>
              <w:left w:val="nil"/>
              <w:bottom w:val="nil"/>
              <w:right w:val="nil"/>
            </w:tcBorders>
            <w:shd w:val="clear" w:color="auto" w:fill="auto"/>
            <w:noWrap/>
            <w:vAlign w:val="bottom"/>
            <w:hideMark/>
          </w:tcPr>
          <w:p w14:paraId="47667681" w14:textId="77777777" w:rsidR="00561167" w:rsidRPr="00CD0C97" w:rsidRDefault="00561167" w:rsidP="00561167">
            <w:pPr>
              <w:rPr>
                <w:rFonts w:ascii="Calibri" w:eastAsia="Times New Roman" w:hAnsi="Calibri" w:cs="Times New Roman"/>
                <w:color w:val="000000"/>
                <w:sz w:val="20"/>
                <w:szCs w:val="20"/>
              </w:rPr>
            </w:pPr>
            <w:r w:rsidRPr="00CD0C97">
              <w:rPr>
                <w:rFonts w:ascii="Calibri" w:eastAsia="Times New Roman" w:hAnsi="Calibri" w:cs="Times New Roman"/>
                <w:color w:val="000000"/>
                <w:sz w:val="20"/>
                <w:szCs w:val="20"/>
              </w:rPr>
              <w:t xml:space="preserve"> </w:t>
            </w:r>
          </w:p>
          <w:p w14:paraId="40DD1E50" w14:textId="77777777" w:rsidR="00561167" w:rsidRPr="00CD0C97" w:rsidRDefault="00561167" w:rsidP="00561167">
            <w:pPr>
              <w:rPr>
                <w:rFonts w:ascii="Calibri" w:eastAsia="Times New Roman" w:hAnsi="Calibri" w:cs="Times New Roman"/>
                <w:color w:val="000000"/>
                <w:sz w:val="20"/>
                <w:szCs w:val="20"/>
              </w:rPr>
            </w:pPr>
            <w:r w:rsidRPr="00CD0C97">
              <w:rPr>
                <w:rFonts w:ascii="Calibri" w:hAnsi="Calibri"/>
                <w:color w:val="000000"/>
                <w:sz w:val="20"/>
                <w:szCs w:val="20"/>
              </w:rPr>
              <w:t xml:space="preserve">4,184,775 </w:t>
            </w:r>
          </w:p>
        </w:tc>
        <w:tc>
          <w:tcPr>
            <w:tcW w:w="1890" w:type="dxa"/>
            <w:tcBorders>
              <w:top w:val="nil"/>
              <w:left w:val="nil"/>
              <w:bottom w:val="nil"/>
              <w:right w:val="nil"/>
            </w:tcBorders>
            <w:shd w:val="clear" w:color="auto" w:fill="auto"/>
            <w:noWrap/>
            <w:vAlign w:val="bottom"/>
            <w:hideMark/>
          </w:tcPr>
          <w:p w14:paraId="7DE0A8AB" w14:textId="77777777" w:rsidR="00561167" w:rsidRPr="00CD0C97" w:rsidRDefault="00561167" w:rsidP="00561167">
            <w:pPr>
              <w:rPr>
                <w:rFonts w:ascii="Calibri" w:eastAsia="Times New Roman" w:hAnsi="Calibri" w:cs="Times New Roman"/>
                <w:color w:val="000000"/>
                <w:sz w:val="20"/>
                <w:szCs w:val="20"/>
              </w:rPr>
            </w:pPr>
            <w:r w:rsidRPr="00CD0C97">
              <w:rPr>
                <w:rFonts w:ascii="Calibri" w:hAnsi="Calibri"/>
                <w:color w:val="000000"/>
                <w:sz w:val="20"/>
                <w:szCs w:val="20"/>
              </w:rPr>
              <w:t>(2,178,417)</w:t>
            </w:r>
          </w:p>
        </w:tc>
      </w:tr>
      <w:tr w:rsidR="00561167" w:rsidRPr="00C92456" w14:paraId="786460F8" w14:textId="77777777" w:rsidTr="002F0078">
        <w:trPr>
          <w:cantSplit/>
          <w:trHeight w:val="300"/>
          <w:jc w:val="center"/>
        </w:trPr>
        <w:tc>
          <w:tcPr>
            <w:tcW w:w="1526" w:type="dxa"/>
            <w:tcBorders>
              <w:top w:val="nil"/>
              <w:left w:val="nil"/>
              <w:bottom w:val="nil"/>
              <w:right w:val="nil"/>
            </w:tcBorders>
            <w:shd w:val="clear" w:color="auto" w:fill="auto"/>
            <w:noWrap/>
            <w:vAlign w:val="bottom"/>
            <w:hideMark/>
          </w:tcPr>
          <w:p w14:paraId="3BD4BAC4" w14:textId="77777777" w:rsidR="00561167" w:rsidRPr="00CD0C97" w:rsidRDefault="00561167" w:rsidP="00561167">
            <w:pPr>
              <w:rPr>
                <w:rFonts w:ascii="Calibri" w:eastAsia="Times New Roman" w:hAnsi="Calibri" w:cs="Times New Roman"/>
                <w:color w:val="000000"/>
                <w:sz w:val="20"/>
                <w:szCs w:val="20"/>
              </w:rPr>
            </w:pPr>
            <w:r w:rsidRPr="00CD0C97">
              <w:rPr>
                <w:rFonts w:ascii="Calibri" w:eastAsia="Times New Roman" w:hAnsi="Calibri" w:cs="Times New Roman"/>
                <w:color w:val="000000"/>
                <w:sz w:val="20"/>
                <w:szCs w:val="20"/>
              </w:rPr>
              <w:t>TRS Plan 1</w:t>
            </w:r>
          </w:p>
        </w:tc>
        <w:tc>
          <w:tcPr>
            <w:tcW w:w="1819" w:type="dxa"/>
            <w:tcBorders>
              <w:top w:val="nil"/>
              <w:left w:val="nil"/>
              <w:bottom w:val="nil"/>
              <w:right w:val="nil"/>
            </w:tcBorders>
            <w:shd w:val="clear" w:color="auto" w:fill="auto"/>
            <w:noWrap/>
            <w:vAlign w:val="bottom"/>
            <w:hideMark/>
          </w:tcPr>
          <w:p w14:paraId="6B0DCD5D" w14:textId="77777777" w:rsidR="00561167" w:rsidRPr="00CD0C97" w:rsidRDefault="00561167" w:rsidP="00561167">
            <w:pPr>
              <w:rPr>
                <w:rFonts w:ascii="Calibri" w:eastAsia="Times New Roman" w:hAnsi="Calibri" w:cs="Times New Roman"/>
                <w:color w:val="000000"/>
                <w:sz w:val="20"/>
                <w:szCs w:val="20"/>
              </w:rPr>
            </w:pPr>
            <w:r w:rsidRPr="00CD0C97">
              <w:rPr>
                <w:rFonts w:ascii="Calibri" w:eastAsia="Times New Roman" w:hAnsi="Calibri" w:cs="Times New Roman"/>
                <w:color w:val="000000"/>
                <w:sz w:val="20"/>
                <w:szCs w:val="20"/>
              </w:rPr>
              <w:t>278,102</w:t>
            </w:r>
          </w:p>
        </w:tc>
        <w:tc>
          <w:tcPr>
            <w:tcW w:w="1530" w:type="dxa"/>
            <w:tcBorders>
              <w:top w:val="nil"/>
              <w:left w:val="nil"/>
              <w:bottom w:val="nil"/>
              <w:right w:val="nil"/>
            </w:tcBorders>
            <w:shd w:val="clear" w:color="auto" w:fill="auto"/>
            <w:noWrap/>
            <w:vAlign w:val="bottom"/>
            <w:hideMark/>
          </w:tcPr>
          <w:p w14:paraId="0B8C52AA" w14:textId="77777777" w:rsidR="00561167" w:rsidRPr="00CD0C97" w:rsidRDefault="00561167" w:rsidP="00561167">
            <w:pPr>
              <w:rPr>
                <w:rFonts w:ascii="Calibri" w:eastAsia="Times New Roman" w:hAnsi="Calibri" w:cs="Times New Roman"/>
                <w:color w:val="000000"/>
                <w:sz w:val="20"/>
                <w:szCs w:val="20"/>
              </w:rPr>
            </w:pPr>
            <w:r w:rsidRPr="00CD0C97">
              <w:rPr>
                <w:rFonts w:ascii="Calibri" w:eastAsia="Times New Roman" w:hAnsi="Calibri" w:cs="Times New Roman"/>
                <w:color w:val="000000"/>
                <w:sz w:val="20"/>
                <w:szCs w:val="20"/>
              </w:rPr>
              <w:t>226,227</w:t>
            </w:r>
          </w:p>
        </w:tc>
        <w:tc>
          <w:tcPr>
            <w:tcW w:w="1890" w:type="dxa"/>
            <w:tcBorders>
              <w:top w:val="nil"/>
              <w:left w:val="nil"/>
              <w:bottom w:val="nil"/>
              <w:right w:val="nil"/>
            </w:tcBorders>
            <w:shd w:val="clear" w:color="auto" w:fill="auto"/>
            <w:noWrap/>
            <w:vAlign w:val="bottom"/>
            <w:hideMark/>
          </w:tcPr>
          <w:p w14:paraId="214BEA33" w14:textId="77777777" w:rsidR="00561167" w:rsidRPr="00CD0C97" w:rsidRDefault="00561167" w:rsidP="00561167">
            <w:pPr>
              <w:rPr>
                <w:rFonts w:ascii="Calibri" w:eastAsia="Times New Roman" w:hAnsi="Calibri" w:cs="Times New Roman"/>
                <w:color w:val="000000"/>
                <w:sz w:val="20"/>
                <w:szCs w:val="20"/>
              </w:rPr>
            </w:pPr>
            <w:r w:rsidRPr="00CD0C97">
              <w:rPr>
                <w:rFonts w:ascii="Calibri" w:eastAsia="Times New Roman" w:hAnsi="Calibri" w:cs="Times New Roman"/>
                <w:color w:val="000000"/>
                <w:sz w:val="20"/>
                <w:szCs w:val="20"/>
              </w:rPr>
              <w:t>181,545</w:t>
            </w:r>
          </w:p>
        </w:tc>
      </w:tr>
      <w:tr w:rsidR="00561167" w:rsidRPr="00C92456" w14:paraId="427CA26F" w14:textId="77777777" w:rsidTr="002F0078">
        <w:trPr>
          <w:trHeight w:val="300"/>
          <w:jc w:val="center"/>
        </w:trPr>
        <w:tc>
          <w:tcPr>
            <w:tcW w:w="1526" w:type="dxa"/>
            <w:tcBorders>
              <w:top w:val="nil"/>
              <w:left w:val="nil"/>
              <w:bottom w:val="nil"/>
              <w:right w:val="nil"/>
            </w:tcBorders>
            <w:shd w:val="clear" w:color="auto" w:fill="auto"/>
            <w:noWrap/>
            <w:vAlign w:val="bottom"/>
            <w:hideMark/>
          </w:tcPr>
          <w:p w14:paraId="3DE8FE02" w14:textId="77777777" w:rsidR="00561167" w:rsidRPr="00CD0C97" w:rsidRDefault="00561167" w:rsidP="00561167">
            <w:pPr>
              <w:rPr>
                <w:rFonts w:ascii="Calibri" w:eastAsia="Times New Roman" w:hAnsi="Calibri" w:cs="Times New Roman"/>
                <w:color w:val="000000"/>
                <w:sz w:val="20"/>
                <w:szCs w:val="20"/>
              </w:rPr>
            </w:pPr>
            <w:r w:rsidRPr="00CD0C97">
              <w:rPr>
                <w:rFonts w:ascii="Calibri" w:eastAsia="Times New Roman" w:hAnsi="Calibri" w:cs="Times New Roman"/>
                <w:color w:val="000000"/>
                <w:sz w:val="20"/>
                <w:szCs w:val="20"/>
              </w:rPr>
              <w:t>TRS Plan 2/3</w:t>
            </w:r>
          </w:p>
        </w:tc>
        <w:tc>
          <w:tcPr>
            <w:tcW w:w="1819" w:type="dxa"/>
            <w:tcBorders>
              <w:top w:val="nil"/>
              <w:left w:val="nil"/>
              <w:bottom w:val="nil"/>
              <w:right w:val="nil"/>
            </w:tcBorders>
            <w:shd w:val="clear" w:color="auto" w:fill="auto"/>
            <w:noWrap/>
            <w:vAlign w:val="bottom"/>
            <w:hideMark/>
          </w:tcPr>
          <w:p w14:paraId="2E656C91" w14:textId="77777777" w:rsidR="00561167" w:rsidRPr="00CD0C97" w:rsidRDefault="00561167" w:rsidP="00561167">
            <w:pPr>
              <w:rPr>
                <w:rFonts w:ascii="Calibri" w:eastAsia="Times New Roman" w:hAnsi="Calibri" w:cs="Times New Roman"/>
                <w:color w:val="000000"/>
                <w:sz w:val="20"/>
                <w:szCs w:val="20"/>
              </w:rPr>
            </w:pPr>
            <w:r w:rsidRPr="00CD0C97">
              <w:rPr>
                <w:rFonts w:ascii="Calibri" w:eastAsia="Times New Roman" w:hAnsi="Calibri" w:cs="Times New Roman"/>
                <w:color w:val="000000"/>
                <w:sz w:val="20"/>
                <w:szCs w:val="20"/>
              </w:rPr>
              <w:t>70,147</w:t>
            </w:r>
          </w:p>
        </w:tc>
        <w:tc>
          <w:tcPr>
            <w:tcW w:w="1530" w:type="dxa"/>
            <w:tcBorders>
              <w:top w:val="nil"/>
              <w:left w:val="nil"/>
              <w:bottom w:val="nil"/>
              <w:right w:val="nil"/>
            </w:tcBorders>
            <w:shd w:val="clear" w:color="auto" w:fill="auto"/>
            <w:noWrap/>
            <w:vAlign w:val="bottom"/>
            <w:hideMark/>
          </w:tcPr>
          <w:p w14:paraId="0402C85A" w14:textId="77777777" w:rsidR="00561167" w:rsidRPr="00CD0C97" w:rsidRDefault="00561167" w:rsidP="00561167">
            <w:pPr>
              <w:rPr>
                <w:rFonts w:ascii="Calibri" w:eastAsia="Times New Roman" w:hAnsi="Calibri" w:cs="Times New Roman"/>
                <w:color w:val="000000"/>
                <w:sz w:val="20"/>
                <w:szCs w:val="20"/>
              </w:rPr>
            </w:pPr>
            <w:r w:rsidRPr="00CD0C97">
              <w:rPr>
                <w:rFonts w:ascii="Calibri" w:eastAsia="Times New Roman" w:hAnsi="Calibri" w:cs="Times New Roman"/>
                <w:color w:val="000000"/>
                <w:sz w:val="20"/>
                <w:szCs w:val="20"/>
              </w:rPr>
              <w:t>30,995</w:t>
            </w:r>
          </w:p>
        </w:tc>
        <w:tc>
          <w:tcPr>
            <w:tcW w:w="1890" w:type="dxa"/>
            <w:tcBorders>
              <w:top w:val="nil"/>
              <w:left w:val="nil"/>
              <w:bottom w:val="nil"/>
              <w:right w:val="nil"/>
            </w:tcBorders>
            <w:shd w:val="clear" w:color="auto" w:fill="auto"/>
            <w:noWrap/>
            <w:vAlign w:val="bottom"/>
            <w:hideMark/>
          </w:tcPr>
          <w:p w14:paraId="79CCD7B8" w14:textId="77777777" w:rsidR="00561167" w:rsidRPr="00CD0C97" w:rsidRDefault="00561167" w:rsidP="00561167">
            <w:pPr>
              <w:rPr>
                <w:rFonts w:ascii="Calibri" w:eastAsia="Times New Roman" w:hAnsi="Calibri" w:cs="Times New Roman"/>
                <w:color w:val="000000"/>
                <w:sz w:val="20"/>
                <w:szCs w:val="20"/>
              </w:rPr>
            </w:pPr>
            <w:r w:rsidRPr="00CD0C97">
              <w:rPr>
                <w:rFonts w:ascii="Calibri" w:eastAsia="Times New Roman" w:hAnsi="Calibri" w:cs="Times New Roman"/>
                <w:color w:val="000000"/>
                <w:sz w:val="20"/>
                <w:szCs w:val="20"/>
              </w:rPr>
              <w:t>(36,007)</w:t>
            </w:r>
          </w:p>
        </w:tc>
      </w:tr>
    </w:tbl>
    <w:p w14:paraId="42704814" w14:textId="77777777" w:rsidR="00561167" w:rsidRDefault="00561167" w:rsidP="00561167"/>
    <w:p w14:paraId="6889F33E" w14:textId="77777777" w:rsidR="00561167" w:rsidRDefault="00561167" w:rsidP="00561167">
      <w:pPr>
        <w:rPr>
          <w:b/>
          <w:bCs/>
          <w:i/>
          <w:iCs/>
        </w:rPr>
      </w:pPr>
    </w:p>
    <w:p w14:paraId="0F457269" w14:textId="77777777" w:rsidR="00561167" w:rsidRDefault="00561167" w:rsidP="00561167">
      <w:pPr>
        <w:rPr>
          <w:bCs/>
          <w:iCs/>
        </w:rPr>
      </w:pPr>
      <w:r w:rsidRPr="00A23855">
        <w:rPr>
          <w:b/>
          <w:bCs/>
          <w:iCs/>
        </w:rPr>
        <w:t>Pension Expense and Deferred Outflows and Inflows of Resources Related to Pensions</w:t>
      </w:r>
      <w:r>
        <w:rPr>
          <w:b/>
          <w:bCs/>
          <w:iCs/>
        </w:rPr>
        <w:br/>
      </w:r>
      <w:r w:rsidRPr="00A23855">
        <w:rPr>
          <w:bCs/>
          <w:iCs/>
        </w:rPr>
        <w:t>The following represent the components of the College’s deferred outflows and inflows of resources as reflected on the Statement of Net Position, for the year ended June 30</w:t>
      </w:r>
      <w:r w:rsidRPr="00FE0BFC">
        <w:rPr>
          <w:bCs/>
          <w:iCs/>
        </w:rPr>
        <w:t>, 2017:</w:t>
      </w:r>
    </w:p>
    <w:p w14:paraId="7642D44C" w14:textId="77777777" w:rsidR="00561167" w:rsidRDefault="00561167" w:rsidP="00561167">
      <w:pPr>
        <w:rPr>
          <w:b/>
          <w:bCs/>
          <w:iCs/>
        </w:rPr>
      </w:pPr>
    </w:p>
    <w:p w14:paraId="7CD7639D" w14:textId="77777777" w:rsidR="00561167" w:rsidRDefault="00561167" w:rsidP="00561167">
      <w:pPr>
        <w:rPr>
          <w:b/>
          <w:bCs/>
          <w:iCs/>
        </w:rPr>
      </w:pPr>
    </w:p>
    <w:tbl>
      <w:tblPr>
        <w:tblW w:w="8960" w:type="dxa"/>
        <w:jc w:val="center"/>
        <w:tblLook w:val="04A0" w:firstRow="1" w:lastRow="0" w:firstColumn="1" w:lastColumn="0" w:noHBand="0" w:noVBand="1"/>
      </w:tblPr>
      <w:tblGrid>
        <w:gridCol w:w="3100"/>
        <w:gridCol w:w="1600"/>
        <w:gridCol w:w="1600"/>
        <w:gridCol w:w="1273"/>
        <w:gridCol w:w="1387"/>
      </w:tblGrid>
      <w:tr w:rsidR="00561167" w:rsidRPr="00B252C7" w14:paraId="175B3CD0" w14:textId="77777777" w:rsidTr="002F0078">
        <w:trPr>
          <w:trHeight w:val="288"/>
          <w:jc w:val="center"/>
        </w:trPr>
        <w:tc>
          <w:tcPr>
            <w:tcW w:w="3100" w:type="dxa"/>
            <w:tcBorders>
              <w:top w:val="nil"/>
              <w:left w:val="nil"/>
              <w:bottom w:val="nil"/>
              <w:right w:val="nil"/>
            </w:tcBorders>
            <w:shd w:val="clear" w:color="auto" w:fill="auto"/>
            <w:noWrap/>
            <w:vAlign w:val="bottom"/>
            <w:hideMark/>
          </w:tcPr>
          <w:p w14:paraId="6E156F8D" w14:textId="77777777" w:rsidR="00561167" w:rsidRPr="00B252C7" w:rsidRDefault="00561167" w:rsidP="00561167">
            <w:pPr>
              <w:rPr>
                <w:rFonts w:ascii="Calibri" w:eastAsia="Times New Roman" w:hAnsi="Calibri" w:cs="Times New Roman"/>
                <w:color w:val="000000"/>
                <w:sz w:val="22"/>
                <w:szCs w:val="22"/>
              </w:rPr>
            </w:pPr>
          </w:p>
        </w:tc>
        <w:tc>
          <w:tcPr>
            <w:tcW w:w="3200" w:type="dxa"/>
            <w:gridSpan w:val="2"/>
            <w:tcBorders>
              <w:top w:val="nil"/>
              <w:left w:val="nil"/>
              <w:bottom w:val="nil"/>
              <w:right w:val="nil"/>
            </w:tcBorders>
            <w:shd w:val="clear" w:color="auto" w:fill="auto"/>
            <w:noWrap/>
            <w:vAlign w:val="bottom"/>
            <w:hideMark/>
          </w:tcPr>
          <w:p w14:paraId="47655541"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PERS 1</w:t>
            </w:r>
          </w:p>
        </w:tc>
        <w:tc>
          <w:tcPr>
            <w:tcW w:w="2660" w:type="dxa"/>
            <w:gridSpan w:val="2"/>
            <w:tcBorders>
              <w:top w:val="nil"/>
              <w:left w:val="nil"/>
              <w:bottom w:val="nil"/>
              <w:right w:val="nil"/>
            </w:tcBorders>
            <w:shd w:val="clear" w:color="auto" w:fill="auto"/>
            <w:noWrap/>
            <w:vAlign w:val="bottom"/>
            <w:hideMark/>
          </w:tcPr>
          <w:p w14:paraId="15848126"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PERS 2/3</w:t>
            </w:r>
          </w:p>
        </w:tc>
      </w:tr>
      <w:tr w:rsidR="00561167" w:rsidRPr="00B252C7" w14:paraId="3E5A9FE4" w14:textId="77777777" w:rsidTr="002F0078">
        <w:trPr>
          <w:trHeight w:val="288"/>
          <w:jc w:val="center"/>
        </w:trPr>
        <w:tc>
          <w:tcPr>
            <w:tcW w:w="3100" w:type="dxa"/>
            <w:tcBorders>
              <w:top w:val="nil"/>
              <w:left w:val="nil"/>
              <w:bottom w:val="nil"/>
              <w:right w:val="nil"/>
            </w:tcBorders>
            <w:shd w:val="clear" w:color="auto" w:fill="auto"/>
            <w:noWrap/>
            <w:vAlign w:val="bottom"/>
            <w:hideMark/>
          </w:tcPr>
          <w:p w14:paraId="2238BF45" w14:textId="77777777" w:rsidR="00561167" w:rsidRPr="00B252C7" w:rsidRDefault="00561167" w:rsidP="00561167">
            <w:pPr>
              <w:rPr>
                <w:rFonts w:ascii="Calibri" w:eastAsia="Times New Roman" w:hAnsi="Calibri" w:cs="Times New Roman"/>
                <w:color w:val="000000"/>
                <w:sz w:val="22"/>
                <w:szCs w:val="22"/>
              </w:rPr>
            </w:pPr>
          </w:p>
        </w:tc>
        <w:tc>
          <w:tcPr>
            <w:tcW w:w="1600" w:type="dxa"/>
            <w:tcBorders>
              <w:top w:val="nil"/>
              <w:left w:val="nil"/>
              <w:bottom w:val="nil"/>
              <w:right w:val="nil"/>
            </w:tcBorders>
            <w:shd w:val="clear" w:color="auto" w:fill="auto"/>
            <w:noWrap/>
            <w:vAlign w:val="bottom"/>
            <w:hideMark/>
          </w:tcPr>
          <w:p w14:paraId="760E8D62"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Deferred</w:t>
            </w:r>
          </w:p>
        </w:tc>
        <w:tc>
          <w:tcPr>
            <w:tcW w:w="1600" w:type="dxa"/>
            <w:tcBorders>
              <w:top w:val="nil"/>
              <w:left w:val="nil"/>
              <w:bottom w:val="nil"/>
              <w:right w:val="nil"/>
            </w:tcBorders>
            <w:shd w:val="clear" w:color="auto" w:fill="auto"/>
            <w:noWrap/>
            <w:vAlign w:val="bottom"/>
            <w:hideMark/>
          </w:tcPr>
          <w:p w14:paraId="2752E835"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 xml:space="preserve">Deferred </w:t>
            </w:r>
          </w:p>
        </w:tc>
        <w:tc>
          <w:tcPr>
            <w:tcW w:w="1273" w:type="dxa"/>
            <w:tcBorders>
              <w:top w:val="nil"/>
              <w:left w:val="nil"/>
              <w:bottom w:val="nil"/>
              <w:right w:val="nil"/>
            </w:tcBorders>
            <w:shd w:val="clear" w:color="auto" w:fill="auto"/>
            <w:noWrap/>
            <w:vAlign w:val="bottom"/>
            <w:hideMark/>
          </w:tcPr>
          <w:p w14:paraId="32A2F99E"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Deferred</w:t>
            </w:r>
          </w:p>
        </w:tc>
        <w:tc>
          <w:tcPr>
            <w:tcW w:w="1387" w:type="dxa"/>
            <w:tcBorders>
              <w:top w:val="nil"/>
              <w:left w:val="nil"/>
              <w:bottom w:val="nil"/>
              <w:right w:val="nil"/>
            </w:tcBorders>
            <w:shd w:val="clear" w:color="auto" w:fill="auto"/>
            <w:noWrap/>
            <w:vAlign w:val="bottom"/>
            <w:hideMark/>
          </w:tcPr>
          <w:p w14:paraId="314EFD5D"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 xml:space="preserve">Deferred </w:t>
            </w:r>
          </w:p>
        </w:tc>
      </w:tr>
      <w:tr w:rsidR="00561167" w:rsidRPr="00B252C7" w14:paraId="6B3C86E8" w14:textId="77777777" w:rsidTr="002F0078">
        <w:trPr>
          <w:trHeight w:val="288"/>
          <w:jc w:val="center"/>
        </w:trPr>
        <w:tc>
          <w:tcPr>
            <w:tcW w:w="3100" w:type="dxa"/>
            <w:tcBorders>
              <w:top w:val="nil"/>
              <w:left w:val="nil"/>
              <w:bottom w:val="nil"/>
              <w:right w:val="nil"/>
            </w:tcBorders>
            <w:shd w:val="clear" w:color="auto" w:fill="auto"/>
            <w:noWrap/>
            <w:vAlign w:val="bottom"/>
            <w:hideMark/>
          </w:tcPr>
          <w:p w14:paraId="35B4D621" w14:textId="77777777" w:rsidR="00561167" w:rsidRPr="00B252C7" w:rsidRDefault="00561167" w:rsidP="00561167">
            <w:pPr>
              <w:rPr>
                <w:rFonts w:ascii="Calibri" w:eastAsia="Times New Roman" w:hAnsi="Calibri" w:cs="Times New Roman"/>
                <w:color w:val="000000"/>
                <w:sz w:val="22"/>
                <w:szCs w:val="22"/>
              </w:rPr>
            </w:pPr>
          </w:p>
        </w:tc>
        <w:tc>
          <w:tcPr>
            <w:tcW w:w="1600" w:type="dxa"/>
            <w:tcBorders>
              <w:top w:val="nil"/>
              <w:left w:val="nil"/>
              <w:bottom w:val="single" w:sz="4" w:space="0" w:color="auto"/>
              <w:right w:val="nil"/>
            </w:tcBorders>
            <w:shd w:val="clear" w:color="auto" w:fill="auto"/>
            <w:noWrap/>
            <w:vAlign w:val="bottom"/>
            <w:hideMark/>
          </w:tcPr>
          <w:p w14:paraId="758783D5"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Outflows</w:t>
            </w:r>
          </w:p>
        </w:tc>
        <w:tc>
          <w:tcPr>
            <w:tcW w:w="1600" w:type="dxa"/>
            <w:tcBorders>
              <w:top w:val="nil"/>
              <w:left w:val="nil"/>
              <w:bottom w:val="single" w:sz="4" w:space="0" w:color="auto"/>
              <w:right w:val="nil"/>
            </w:tcBorders>
            <w:shd w:val="clear" w:color="auto" w:fill="auto"/>
            <w:noWrap/>
            <w:vAlign w:val="bottom"/>
            <w:hideMark/>
          </w:tcPr>
          <w:p w14:paraId="6AD96608"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Inflows</w:t>
            </w:r>
          </w:p>
        </w:tc>
        <w:tc>
          <w:tcPr>
            <w:tcW w:w="1273" w:type="dxa"/>
            <w:tcBorders>
              <w:top w:val="nil"/>
              <w:left w:val="nil"/>
              <w:bottom w:val="single" w:sz="4" w:space="0" w:color="auto"/>
              <w:right w:val="nil"/>
            </w:tcBorders>
            <w:shd w:val="clear" w:color="auto" w:fill="auto"/>
            <w:noWrap/>
            <w:vAlign w:val="bottom"/>
            <w:hideMark/>
          </w:tcPr>
          <w:p w14:paraId="312C313A"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Outflows</w:t>
            </w:r>
          </w:p>
        </w:tc>
        <w:tc>
          <w:tcPr>
            <w:tcW w:w="1387" w:type="dxa"/>
            <w:tcBorders>
              <w:top w:val="nil"/>
              <w:left w:val="nil"/>
              <w:bottom w:val="single" w:sz="4" w:space="0" w:color="auto"/>
              <w:right w:val="nil"/>
            </w:tcBorders>
            <w:shd w:val="clear" w:color="auto" w:fill="auto"/>
            <w:noWrap/>
            <w:vAlign w:val="bottom"/>
            <w:hideMark/>
          </w:tcPr>
          <w:p w14:paraId="07693C57"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Inflows</w:t>
            </w:r>
          </w:p>
        </w:tc>
      </w:tr>
      <w:tr w:rsidR="00561167" w:rsidRPr="00B252C7" w14:paraId="5D4D8E2F" w14:textId="77777777" w:rsidTr="002F0078">
        <w:trPr>
          <w:trHeight w:val="552"/>
          <w:jc w:val="center"/>
        </w:trPr>
        <w:tc>
          <w:tcPr>
            <w:tcW w:w="3100" w:type="dxa"/>
            <w:tcBorders>
              <w:top w:val="nil"/>
              <w:left w:val="nil"/>
              <w:bottom w:val="nil"/>
              <w:right w:val="nil"/>
            </w:tcBorders>
            <w:shd w:val="clear" w:color="auto" w:fill="auto"/>
            <w:hideMark/>
          </w:tcPr>
          <w:p w14:paraId="0C10600E" w14:textId="77777777" w:rsidR="00561167" w:rsidRPr="00B252C7" w:rsidRDefault="00561167" w:rsidP="00561167">
            <w:pPr>
              <w:rPr>
                <w:rFonts w:eastAsia="Times New Roman" w:cs="Times New Roman"/>
                <w:color w:val="000000"/>
                <w:sz w:val="22"/>
                <w:szCs w:val="22"/>
              </w:rPr>
            </w:pPr>
            <w:r w:rsidRPr="00B252C7">
              <w:rPr>
                <w:rFonts w:eastAsia="Times New Roman" w:cs="Times New Roman"/>
                <w:color w:val="000000"/>
                <w:sz w:val="22"/>
                <w:szCs w:val="22"/>
              </w:rPr>
              <w:t>Difference between expected and actual experience</w:t>
            </w:r>
          </w:p>
        </w:tc>
        <w:tc>
          <w:tcPr>
            <w:tcW w:w="1600" w:type="dxa"/>
            <w:tcBorders>
              <w:top w:val="nil"/>
              <w:left w:val="nil"/>
              <w:bottom w:val="nil"/>
              <w:right w:val="nil"/>
            </w:tcBorders>
            <w:shd w:val="clear" w:color="auto" w:fill="auto"/>
            <w:noWrap/>
            <w:hideMark/>
          </w:tcPr>
          <w:p w14:paraId="6B41B09B"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1600" w:type="dxa"/>
            <w:tcBorders>
              <w:top w:val="nil"/>
              <w:left w:val="nil"/>
              <w:bottom w:val="nil"/>
              <w:right w:val="nil"/>
            </w:tcBorders>
            <w:shd w:val="clear" w:color="auto" w:fill="auto"/>
            <w:noWrap/>
            <w:hideMark/>
          </w:tcPr>
          <w:p w14:paraId="52211B00"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$0</w:t>
            </w:r>
          </w:p>
        </w:tc>
        <w:tc>
          <w:tcPr>
            <w:tcW w:w="1273" w:type="dxa"/>
            <w:tcBorders>
              <w:top w:val="nil"/>
              <w:left w:val="nil"/>
              <w:bottom w:val="nil"/>
              <w:right w:val="nil"/>
            </w:tcBorders>
            <w:shd w:val="clear" w:color="auto" w:fill="auto"/>
            <w:noWrap/>
            <w:hideMark/>
          </w:tcPr>
          <w:p w14:paraId="5B15B008" w14:textId="77777777" w:rsidR="00561167" w:rsidRPr="00B252C7" w:rsidRDefault="00561167" w:rsidP="00561167">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$222,836</w:t>
            </w:r>
          </w:p>
        </w:tc>
        <w:tc>
          <w:tcPr>
            <w:tcW w:w="1387" w:type="dxa"/>
            <w:tcBorders>
              <w:top w:val="nil"/>
              <w:left w:val="nil"/>
              <w:bottom w:val="nil"/>
              <w:right w:val="nil"/>
            </w:tcBorders>
            <w:shd w:val="clear" w:color="auto" w:fill="auto"/>
            <w:noWrap/>
            <w:hideMark/>
          </w:tcPr>
          <w:p w14:paraId="6A0F055C"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$138,146</w:t>
            </w:r>
          </w:p>
        </w:tc>
      </w:tr>
      <w:tr w:rsidR="00561167" w:rsidRPr="00B252C7" w14:paraId="1A2584AB" w14:textId="77777777" w:rsidTr="002F0078">
        <w:trPr>
          <w:trHeight w:val="828"/>
          <w:jc w:val="center"/>
        </w:trPr>
        <w:tc>
          <w:tcPr>
            <w:tcW w:w="3100" w:type="dxa"/>
            <w:tcBorders>
              <w:top w:val="nil"/>
              <w:left w:val="nil"/>
              <w:bottom w:val="nil"/>
              <w:right w:val="nil"/>
            </w:tcBorders>
            <w:shd w:val="clear" w:color="auto" w:fill="auto"/>
            <w:hideMark/>
          </w:tcPr>
          <w:p w14:paraId="03549345" w14:textId="77777777" w:rsidR="00561167" w:rsidRPr="00B252C7" w:rsidRDefault="00561167" w:rsidP="00561167">
            <w:pPr>
              <w:rPr>
                <w:rFonts w:eastAsia="Times New Roman" w:cs="Times New Roman"/>
                <w:color w:val="000000"/>
                <w:sz w:val="22"/>
                <w:szCs w:val="22"/>
              </w:rPr>
            </w:pPr>
            <w:r w:rsidRPr="00B252C7">
              <w:rPr>
                <w:rFonts w:eastAsia="Times New Roman" w:cs="Times New Roman"/>
                <w:color w:val="000000"/>
                <w:sz w:val="22"/>
                <w:szCs w:val="22"/>
              </w:rPr>
              <w:t>Difference between expected and actual earnings of pension plan investments</w:t>
            </w:r>
          </w:p>
        </w:tc>
        <w:tc>
          <w:tcPr>
            <w:tcW w:w="1600" w:type="dxa"/>
            <w:tcBorders>
              <w:top w:val="nil"/>
              <w:left w:val="nil"/>
              <w:bottom w:val="nil"/>
              <w:right w:val="nil"/>
            </w:tcBorders>
            <w:shd w:val="clear" w:color="auto" w:fill="auto"/>
            <w:noWrap/>
            <w:hideMark/>
          </w:tcPr>
          <w:p w14:paraId="5EA26AA6"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$97,688</w:t>
            </w:r>
          </w:p>
        </w:tc>
        <w:tc>
          <w:tcPr>
            <w:tcW w:w="1600" w:type="dxa"/>
            <w:tcBorders>
              <w:top w:val="nil"/>
              <w:left w:val="nil"/>
              <w:bottom w:val="nil"/>
              <w:right w:val="nil"/>
            </w:tcBorders>
            <w:shd w:val="clear" w:color="auto" w:fill="auto"/>
            <w:noWrap/>
            <w:hideMark/>
          </w:tcPr>
          <w:p w14:paraId="17E23F12"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$0</w:t>
            </w:r>
          </w:p>
        </w:tc>
        <w:tc>
          <w:tcPr>
            <w:tcW w:w="1273" w:type="dxa"/>
            <w:tcBorders>
              <w:top w:val="nil"/>
              <w:left w:val="nil"/>
              <w:bottom w:val="nil"/>
              <w:right w:val="nil"/>
            </w:tcBorders>
            <w:shd w:val="clear" w:color="auto" w:fill="auto"/>
            <w:noWrap/>
            <w:hideMark/>
          </w:tcPr>
          <w:p w14:paraId="5D9A5B12"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$512,096</w:t>
            </w:r>
          </w:p>
        </w:tc>
        <w:tc>
          <w:tcPr>
            <w:tcW w:w="1387" w:type="dxa"/>
            <w:tcBorders>
              <w:top w:val="nil"/>
              <w:left w:val="nil"/>
              <w:bottom w:val="nil"/>
              <w:right w:val="nil"/>
            </w:tcBorders>
            <w:shd w:val="clear" w:color="auto" w:fill="auto"/>
            <w:noWrap/>
            <w:hideMark/>
          </w:tcPr>
          <w:p w14:paraId="05A4B0F6"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$0</w:t>
            </w:r>
          </w:p>
        </w:tc>
      </w:tr>
      <w:tr w:rsidR="00561167" w:rsidRPr="00B252C7" w14:paraId="47866537" w14:textId="77777777" w:rsidTr="002F0078">
        <w:trPr>
          <w:trHeight w:val="288"/>
          <w:jc w:val="center"/>
        </w:trPr>
        <w:tc>
          <w:tcPr>
            <w:tcW w:w="3100" w:type="dxa"/>
            <w:tcBorders>
              <w:top w:val="nil"/>
              <w:left w:val="nil"/>
              <w:bottom w:val="nil"/>
              <w:right w:val="nil"/>
            </w:tcBorders>
            <w:shd w:val="clear" w:color="auto" w:fill="auto"/>
            <w:hideMark/>
          </w:tcPr>
          <w:p w14:paraId="2C5F498C" w14:textId="77777777" w:rsidR="00561167" w:rsidRPr="00B252C7" w:rsidRDefault="00561167" w:rsidP="00561167">
            <w:pPr>
              <w:rPr>
                <w:rFonts w:eastAsia="Times New Roman" w:cs="Times New Roman"/>
                <w:color w:val="000000"/>
                <w:sz w:val="22"/>
                <w:szCs w:val="22"/>
              </w:rPr>
            </w:pPr>
            <w:r w:rsidRPr="00B252C7">
              <w:rPr>
                <w:rFonts w:eastAsia="Times New Roman" w:cs="Times New Roman"/>
                <w:color w:val="000000"/>
                <w:sz w:val="22"/>
                <w:szCs w:val="22"/>
              </w:rPr>
              <w:t>Changes of Assumptions</w:t>
            </w:r>
          </w:p>
        </w:tc>
        <w:tc>
          <w:tcPr>
            <w:tcW w:w="1600" w:type="dxa"/>
            <w:tcBorders>
              <w:top w:val="nil"/>
              <w:left w:val="nil"/>
              <w:bottom w:val="nil"/>
              <w:right w:val="nil"/>
            </w:tcBorders>
            <w:shd w:val="clear" w:color="auto" w:fill="auto"/>
            <w:noWrap/>
            <w:hideMark/>
          </w:tcPr>
          <w:p w14:paraId="5E9546E4"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1600" w:type="dxa"/>
            <w:tcBorders>
              <w:top w:val="nil"/>
              <w:left w:val="nil"/>
              <w:bottom w:val="nil"/>
              <w:right w:val="nil"/>
            </w:tcBorders>
            <w:shd w:val="clear" w:color="auto" w:fill="auto"/>
            <w:noWrap/>
            <w:hideMark/>
          </w:tcPr>
          <w:p w14:paraId="1FCD7A2A"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$0</w:t>
            </w:r>
          </w:p>
        </w:tc>
        <w:tc>
          <w:tcPr>
            <w:tcW w:w="1273" w:type="dxa"/>
            <w:tcBorders>
              <w:top w:val="nil"/>
              <w:left w:val="nil"/>
              <w:bottom w:val="nil"/>
              <w:right w:val="nil"/>
            </w:tcBorders>
            <w:shd w:val="clear" w:color="auto" w:fill="auto"/>
            <w:noWrap/>
            <w:hideMark/>
          </w:tcPr>
          <w:p w14:paraId="28D44EDD"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$43,253</w:t>
            </w:r>
          </w:p>
        </w:tc>
        <w:tc>
          <w:tcPr>
            <w:tcW w:w="1387" w:type="dxa"/>
            <w:tcBorders>
              <w:top w:val="nil"/>
              <w:left w:val="nil"/>
              <w:bottom w:val="nil"/>
              <w:right w:val="nil"/>
            </w:tcBorders>
            <w:shd w:val="clear" w:color="auto" w:fill="auto"/>
            <w:noWrap/>
            <w:hideMark/>
          </w:tcPr>
          <w:p w14:paraId="73E23133"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$0</w:t>
            </w:r>
          </w:p>
        </w:tc>
      </w:tr>
      <w:tr w:rsidR="00561167" w:rsidRPr="00B252C7" w14:paraId="33F9B9B7" w14:textId="77777777" w:rsidTr="002F0078">
        <w:trPr>
          <w:trHeight w:val="828"/>
          <w:jc w:val="center"/>
        </w:trPr>
        <w:tc>
          <w:tcPr>
            <w:tcW w:w="3100" w:type="dxa"/>
            <w:tcBorders>
              <w:top w:val="nil"/>
              <w:left w:val="nil"/>
              <w:bottom w:val="nil"/>
              <w:right w:val="nil"/>
            </w:tcBorders>
            <w:shd w:val="clear" w:color="auto" w:fill="auto"/>
            <w:hideMark/>
          </w:tcPr>
          <w:p w14:paraId="09E5DA35" w14:textId="77777777" w:rsidR="00561167" w:rsidRPr="00B252C7" w:rsidRDefault="00561167" w:rsidP="00561167">
            <w:pPr>
              <w:rPr>
                <w:rFonts w:eastAsia="Times New Roman" w:cs="Times New Roman"/>
                <w:color w:val="000000"/>
                <w:sz w:val="22"/>
                <w:szCs w:val="22"/>
              </w:rPr>
            </w:pPr>
            <w:r w:rsidRPr="00B252C7">
              <w:rPr>
                <w:rFonts w:eastAsia="Times New Roman" w:cs="Times New Roman"/>
                <w:color w:val="000000"/>
                <w:sz w:val="22"/>
                <w:szCs w:val="22"/>
              </w:rPr>
              <w:t>Changes in College's proportionate share of pension liabilities</w:t>
            </w:r>
          </w:p>
        </w:tc>
        <w:tc>
          <w:tcPr>
            <w:tcW w:w="1600" w:type="dxa"/>
            <w:tcBorders>
              <w:top w:val="nil"/>
              <w:left w:val="nil"/>
              <w:bottom w:val="nil"/>
              <w:right w:val="nil"/>
            </w:tcBorders>
            <w:shd w:val="clear" w:color="auto" w:fill="auto"/>
            <w:noWrap/>
            <w:hideMark/>
          </w:tcPr>
          <w:p w14:paraId="51F0D3F5"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1600" w:type="dxa"/>
            <w:tcBorders>
              <w:top w:val="nil"/>
              <w:left w:val="nil"/>
              <w:bottom w:val="nil"/>
              <w:right w:val="nil"/>
            </w:tcBorders>
            <w:shd w:val="clear" w:color="auto" w:fill="auto"/>
            <w:noWrap/>
            <w:hideMark/>
          </w:tcPr>
          <w:p w14:paraId="1F003A65"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1273" w:type="dxa"/>
            <w:tcBorders>
              <w:top w:val="nil"/>
              <w:left w:val="nil"/>
              <w:bottom w:val="nil"/>
              <w:right w:val="nil"/>
            </w:tcBorders>
            <w:shd w:val="clear" w:color="auto" w:fill="auto"/>
            <w:noWrap/>
            <w:hideMark/>
          </w:tcPr>
          <w:p w14:paraId="66CCE6BE"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$36,245</w:t>
            </w:r>
          </w:p>
        </w:tc>
        <w:tc>
          <w:tcPr>
            <w:tcW w:w="1387" w:type="dxa"/>
            <w:tcBorders>
              <w:top w:val="nil"/>
              <w:left w:val="nil"/>
              <w:bottom w:val="nil"/>
              <w:right w:val="nil"/>
            </w:tcBorders>
            <w:shd w:val="clear" w:color="auto" w:fill="auto"/>
            <w:noWrap/>
            <w:hideMark/>
          </w:tcPr>
          <w:p w14:paraId="5DBCEDC0"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$11959</w:t>
            </w:r>
          </w:p>
        </w:tc>
      </w:tr>
      <w:tr w:rsidR="00561167" w:rsidRPr="00B252C7" w14:paraId="15DB0163" w14:textId="77777777" w:rsidTr="002F0078">
        <w:trPr>
          <w:trHeight w:val="552"/>
          <w:jc w:val="center"/>
        </w:trPr>
        <w:tc>
          <w:tcPr>
            <w:tcW w:w="3100" w:type="dxa"/>
            <w:tcBorders>
              <w:top w:val="nil"/>
              <w:left w:val="nil"/>
              <w:bottom w:val="nil"/>
              <w:right w:val="nil"/>
            </w:tcBorders>
            <w:shd w:val="clear" w:color="auto" w:fill="auto"/>
            <w:hideMark/>
          </w:tcPr>
          <w:p w14:paraId="0E566897" w14:textId="77777777" w:rsidR="00561167" w:rsidRPr="00B252C7" w:rsidRDefault="00561167" w:rsidP="00561167">
            <w:pPr>
              <w:rPr>
                <w:rFonts w:eastAsia="Times New Roman" w:cs="Times New Roman"/>
                <w:color w:val="000000"/>
                <w:sz w:val="22"/>
                <w:szCs w:val="22"/>
              </w:rPr>
            </w:pPr>
            <w:r w:rsidRPr="00B252C7">
              <w:rPr>
                <w:rFonts w:eastAsia="Times New Roman" w:cs="Times New Roman"/>
                <w:color w:val="000000"/>
                <w:sz w:val="22"/>
                <w:szCs w:val="22"/>
              </w:rPr>
              <w:t>Contributions to pension plans after measurement date</w:t>
            </w:r>
          </w:p>
        </w:tc>
        <w:tc>
          <w:tcPr>
            <w:tcW w:w="1600" w:type="dxa"/>
            <w:tcBorders>
              <w:top w:val="nil"/>
              <w:left w:val="nil"/>
              <w:bottom w:val="single" w:sz="4" w:space="0" w:color="auto"/>
              <w:right w:val="nil"/>
            </w:tcBorders>
            <w:shd w:val="clear" w:color="auto" w:fill="auto"/>
            <w:noWrap/>
            <w:hideMark/>
          </w:tcPr>
          <w:p w14:paraId="23F72ACB"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$400,855</w:t>
            </w:r>
          </w:p>
        </w:tc>
        <w:tc>
          <w:tcPr>
            <w:tcW w:w="1600" w:type="dxa"/>
            <w:tcBorders>
              <w:top w:val="nil"/>
              <w:left w:val="nil"/>
              <w:bottom w:val="single" w:sz="4" w:space="0" w:color="auto"/>
              <w:right w:val="nil"/>
            </w:tcBorders>
            <w:shd w:val="clear" w:color="auto" w:fill="auto"/>
            <w:noWrap/>
            <w:hideMark/>
          </w:tcPr>
          <w:p w14:paraId="5C318197"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1273" w:type="dxa"/>
            <w:tcBorders>
              <w:top w:val="nil"/>
              <w:left w:val="nil"/>
              <w:bottom w:val="single" w:sz="4" w:space="0" w:color="auto"/>
              <w:right w:val="nil"/>
            </w:tcBorders>
            <w:shd w:val="clear" w:color="auto" w:fill="auto"/>
            <w:noWrap/>
            <w:hideMark/>
          </w:tcPr>
          <w:p w14:paraId="72456182"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$492,894</w:t>
            </w:r>
          </w:p>
        </w:tc>
        <w:tc>
          <w:tcPr>
            <w:tcW w:w="1387" w:type="dxa"/>
            <w:tcBorders>
              <w:top w:val="nil"/>
              <w:left w:val="nil"/>
              <w:bottom w:val="single" w:sz="4" w:space="0" w:color="auto"/>
              <w:right w:val="nil"/>
            </w:tcBorders>
            <w:shd w:val="clear" w:color="auto" w:fill="auto"/>
            <w:noWrap/>
            <w:hideMark/>
          </w:tcPr>
          <w:p w14:paraId="6ABAA864"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r>
      <w:tr w:rsidR="00561167" w:rsidRPr="00B252C7" w14:paraId="4B2852E9" w14:textId="77777777" w:rsidTr="002F0078">
        <w:trPr>
          <w:trHeight w:val="288"/>
          <w:jc w:val="center"/>
        </w:trPr>
        <w:tc>
          <w:tcPr>
            <w:tcW w:w="3100" w:type="dxa"/>
            <w:tcBorders>
              <w:top w:val="nil"/>
              <w:left w:val="nil"/>
              <w:bottom w:val="nil"/>
              <w:right w:val="nil"/>
            </w:tcBorders>
            <w:shd w:val="clear" w:color="auto" w:fill="auto"/>
            <w:noWrap/>
            <w:vAlign w:val="bottom"/>
            <w:hideMark/>
          </w:tcPr>
          <w:p w14:paraId="0DD0EC83" w14:textId="77777777" w:rsidR="00561167" w:rsidRPr="00B252C7" w:rsidRDefault="00561167" w:rsidP="00561167">
            <w:pPr>
              <w:rPr>
                <w:rFonts w:ascii="Calibri" w:eastAsia="Times New Roman" w:hAnsi="Calibri" w:cs="Times New Roman"/>
                <w:color w:val="000000"/>
                <w:sz w:val="22"/>
                <w:szCs w:val="22"/>
              </w:rPr>
            </w:pPr>
          </w:p>
        </w:tc>
        <w:tc>
          <w:tcPr>
            <w:tcW w:w="1600" w:type="dxa"/>
            <w:tcBorders>
              <w:top w:val="nil"/>
              <w:left w:val="nil"/>
              <w:bottom w:val="nil"/>
              <w:right w:val="nil"/>
            </w:tcBorders>
            <w:shd w:val="clear" w:color="auto" w:fill="auto"/>
            <w:noWrap/>
            <w:vAlign w:val="bottom"/>
            <w:hideMark/>
          </w:tcPr>
          <w:p w14:paraId="230E2440" w14:textId="77777777" w:rsidR="00561167" w:rsidRPr="00B252C7" w:rsidRDefault="00561167" w:rsidP="00561167">
            <w:pP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 xml:space="preserve"> $</w:t>
            </w:r>
            <w:r>
              <w:rPr>
                <w:rFonts w:ascii="Calibri" w:eastAsia="Times New Roman" w:hAnsi="Calibri" w:cs="Times New Roman"/>
                <w:b/>
                <w:bCs/>
                <w:color w:val="000000"/>
                <w:sz w:val="22"/>
                <w:szCs w:val="22"/>
              </w:rPr>
              <w:t xml:space="preserve">498,543                       </w:t>
            </w:r>
            <w:r w:rsidRPr="00B252C7">
              <w:rPr>
                <w:rFonts w:ascii="Calibri" w:eastAsia="Times New Roman" w:hAnsi="Calibri" w:cs="Times New Roman"/>
                <w:b/>
                <w:bCs/>
                <w:color w:val="000000"/>
                <w:sz w:val="22"/>
                <w:szCs w:val="22"/>
              </w:rPr>
              <w:t xml:space="preserve">  </w:t>
            </w:r>
          </w:p>
        </w:tc>
        <w:tc>
          <w:tcPr>
            <w:tcW w:w="1600" w:type="dxa"/>
            <w:tcBorders>
              <w:top w:val="nil"/>
              <w:left w:val="nil"/>
              <w:bottom w:val="nil"/>
              <w:right w:val="nil"/>
            </w:tcBorders>
            <w:shd w:val="clear" w:color="auto" w:fill="auto"/>
            <w:noWrap/>
            <w:vAlign w:val="bottom"/>
            <w:hideMark/>
          </w:tcPr>
          <w:p w14:paraId="709169BD" w14:textId="77777777" w:rsidR="00561167" w:rsidRPr="00B252C7" w:rsidRDefault="00561167" w:rsidP="00561167">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 xml:space="preserve"> $0                    </w:t>
            </w:r>
            <w:r w:rsidRPr="00B252C7">
              <w:rPr>
                <w:rFonts w:ascii="Calibri" w:eastAsia="Times New Roman" w:hAnsi="Calibri" w:cs="Times New Roman"/>
                <w:b/>
                <w:bCs/>
                <w:color w:val="000000"/>
                <w:sz w:val="22"/>
                <w:szCs w:val="22"/>
              </w:rPr>
              <w:t xml:space="preserve">   </w:t>
            </w:r>
          </w:p>
        </w:tc>
        <w:tc>
          <w:tcPr>
            <w:tcW w:w="1273" w:type="dxa"/>
            <w:tcBorders>
              <w:top w:val="nil"/>
              <w:left w:val="nil"/>
              <w:bottom w:val="nil"/>
              <w:right w:val="nil"/>
            </w:tcBorders>
            <w:shd w:val="clear" w:color="auto" w:fill="auto"/>
            <w:noWrap/>
            <w:vAlign w:val="bottom"/>
            <w:hideMark/>
          </w:tcPr>
          <w:p w14:paraId="1592643C" w14:textId="77777777" w:rsidR="00561167" w:rsidRPr="00B252C7" w:rsidRDefault="00561167" w:rsidP="00561167">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 xml:space="preserve"> $1,307,324</w:t>
            </w:r>
            <w:r w:rsidRPr="00B252C7">
              <w:rPr>
                <w:rFonts w:ascii="Calibri" w:eastAsia="Times New Roman" w:hAnsi="Calibri" w:cs="Times New Roman"/>
                <w:b/>
                <w:bCs/>
                <w:color w:val="000000"/>
                <w:sz w:val="22"/>
                <w:szCs w:val="22"/>
              </w:rPr>
              <w:t xml:space="preserve">  </w:t>
            </w:r>
          </w:p>
        </w:tc>
        <w:tc>
          <w:tcPr>
            <w:tcW w:w="1387" w:type="dxa"/>
            <w:tcBorders>
              <w:top w:val="nil"/>
              <w:left w:val="nil"/>
              <w:bottom w:val="nil"/>
              <w:right w:val="nil"/>
            </w:tcBorders>
            <w:shd w:val="clear" w:color="auto" w:fill="auto"/>
            <w:noWrap/>
            <w:vAlign w:val="bottom"/>
            <w:hideMark/>
          </w:tcPr>
          <w:p w14:paraId="2C1C0CEB" w14:textId="77777777" w:rsidR="00561167" w:rsidRPr="00B252C7" w:rsidRDefault="00561167" w:rsidP="00561167">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 xml:space="preserve"> $150,105</w:t>
            </w:r>
          </w:p>
        </w:tc>
      </w:tr>
    </w:tbl>
    <w:p w14:paraId="65018FAE" w14:textId="589EA977" w:rsidR="00561167" w:rsidRDefault="00561167" w:rsidP="00561167">
      <w:pPr>
        <w:rPr>
          <w:b/>
          <w:bCs/>
          <w:iCs/>
        </w:rPr>
      </w:pPr>
    </w:p>
    <w:p w14:paraId="59D81950" w14:textId="12F07A7D" w:rsidR="002F0078" w:rsidRDefault="002F0078" w:rsidP="00561167">
      <w:pPr>
        <w:rPr>
          <w:b/>
          <w:bCs/>
          <w:iCs/>
        </w:rPr>
      </w:pPr>
    </w:p>
    <w:p w14:paraId="2E97C66F" w14:textId="0C878C57" w:rsidR="002F0078" w:rsidRDefault="002F0078" w:rsidP="00561167">
      <w:pPr>
        <w:rPr>
          <w:b/>
          <w:bCs/>
          <w:iCs/>
        </w:rPr>
      </w:pPr>
    </w:p>
    <w:p w14:paraId="471F9FD3" w14:textId="08CAB2D8" w:rsidR="002F0078" w:rsidRDefault="002F0078" w:rsidP="00561167">
      <w:pPr>
        <w:rPr>
          <w:b/>
          <w:bCs/>
          <w:iCs/>
        </w:rPr>
      </w:pPr>
    </w:p>
    <w:p w14:paraId="633BB0B5" w14:textId="3C540A68" w:rsidR="002F0078" w:rsidRDefault="002F0078" w:rsidP="00561167">
      <w:pPr>
        <w:rPr>
          <w:b/>
          <w:bCs/>
          <w:iCs/>
        </w:rPr>
      </w:pPr>
    </w:p>
    <w:p w14:paraId="7F201DD4" w14:textId="054F3878" w:rsidR="002F0078" w:rsidRDefault="002F0078" w:rsidP="00561167">
      <w:pPr>
        <w:rPr>
          <w:b/>
          <w:bCs/>
          <w:iCs/>
        </w:rPr>
      </w:pPr>
    </w:p>
    <w:p w14:paraId="4B360725" w14:textId="77777777" w:rsidR="002F0078" w:rsidRDefault="002F0078" w:rsidP="00561167">
      <w:pPr>
        <w:rPr>
          <w:b/>
          <w:bCs/>
          <w:iCs/>
        </w:rPr>
      </w:pPr>
    </w:p>
    <w:p w14:paraId="07F1FAA7" w14:textId="77777777" w:rsidR="00561167" w:rsidRDefault="00561167" w:rsidP="00561167">
      <w:pPr>
        <w:rPr>
          <w:b/>
          <w:bCs/>
          <w:iCs/>
        </w:rPr>
      </w:pPr>
    </w:p>
    <w:tbl>
      <w:tblPr>
        <w:tblW w:w="7980" w:type="dxa"/>
        <w:tblInd w:w="93" w:type="dxa"/>
        <w:tblLook w:val="04A0" w:firstRow="1" w:lastRow="0" w:firstColumn="1" w:lastColumn="0" w:noHBand="0" w:noVBand="1"/>
      </w:tblPr>
      <w:tblGrid>
        <w:gridCol w:w="3120"/>
        <w:gridCol w:w="1190"/>
        <w:gridCol w:w="1190"/>
        <w:gridCol w:w="1181"/>
        <w:gridCol w:w="1299"/>
      </w:tblGrid>
      <w:tr w:rsidR="00561167" w:rsidRPr="00B252C7" w14:paraId="5F1C1C61" w14:textId="77777777" w:rsidTr="00561167">
        <w:trPr>
          <w:trHeight w:val="288"/>
        </w:trPr>
        <w:tc>
          <w:tcPr>
            <w:tcW w:w="3120" w:type="dxa"/>
            <w:tcBorders>
              <w:top w:val="nil"/>
              <w:left w:val="nil"/>
              <w:bottom w:val="nil"/>
              <w:right w:val="nil"/>
            </w:tcBorders>
            <w:shd w:val="clear" w:color="auto" w:fill="auto"/>
            <w:noWrap/>
            <w:vAlign w:val="bottom"/>
            <w:hideMark/>
          </w:tcPr>
          <w:p w14:paraId="6929967B" w14:textId="77777777" w:rsidR="00561167" w:rsidRPr="00B252C7" w:rsidRDefault="00561167" w:rsidP="00561167">
            <w:pPr>
              <w:rPr>
                <w:rFonts w:ascii="Calibri" w:eastAsia="Times New Roman" w:hAnsi="Calibri" w:cs="Times New Roman"/>
                <w:color w:val="000000"/>
                <w:sz w:val="22"/>
                <w:szCs w:val="22"/>
              </w:rPr>
            </w:pPr>
          </w:p>
        </w:tc>
        <w:tc>
          <w:tcPr>
            <w:tcW w:w="2380" w:type="dxa"/>
            <w:gridSpan w:val="2"/>
            <w:tcBorders>
              <w:top w:val="nil"/>
              <w:left w:val="nil"/>
              <w:bottom w:val="nil"/>
              <w:right w:val="nil"/>
            </w:tcBorders>
            <w:shd w:val="clear" w:color="auto" w:fill="auto"/>
            <w:noWrap/>
            <w:vAlign w:val="bottom"/>
            <w:hideMark/>
          </w:tcPr>
          <w:p w14:paraId="7B7EE743"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TRS 1</w:t>
            </w:r>
          </w:p>
        </w:tc>
        <w:tc>
          <w:tcPr>
            <w:tcW w:w="2480" w:type="dxa"/>
            <w:gridSpan w:val="2"/>
            <w:tcBorders>
              <w:top w:val="nil"/>
              <w:left w:val="nil"/>
              <w:bottom w:val="nil"/>
              <w:right w:val="nil"/>
            </w:tcBorders>
            <w:shd w:val="clear" w:color="auto" w:fill="auto"/>
            <w:noWrap/>
            <w:vAlign w:val="bottom"/>
            <w:hideMark/>
          </w:tcPr>
          <w:p w14:paraId="4E7AFBD6"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TRS 2/3</w:t>
            </w:r>
          </w:p>
        </w:tc>
      </w:tr>
      <w:tr w:rsidR="00561167" w:rsidRPr="00B252C7" w14:paraId="6085B480" w14:textId="77777777" w:rsidTr="00561167">
        <w:trPr>
          <w:trHeight w:val="288"/>
        </w:trPr>
        <w:tc>
          <w:tcPr>
            <w:tcW w:w="3120" w:type="dxa"/>
            <w:tcBorders>
              <w:top w:val="nil"/>
              <w:left w:val="nil"/>
              <w:bottom w:val="nil"/>
              <w:right w:val="nil"/>
            </w:tcBorders>
            <w:shd w:val="clear" w:color="auto" w:fill="auto"/>
            <w:noWrap/>
            <w:vAlign w:val="bottom"/>
            <w:hideMark/>
          </w:tcPr>
          <w:p w14:paraId="547994B2" w14:textId="77777777" w:rsidR="00561167" w:rsidRPr="00B252C7" w:rsidRDefault="00561167" w:rsidP="00561167">
            <w:pPr>
              <w:rPr>
                <w:rFonts w:ascii="Calibri" w:eastAsia="Times New Roman" w:hAnsi="Calibri" w:cs="Times New Roman"/>
                <w:b/>
                <w:bCs/>
                <w:color w:val="000000"/>
                <w:sz w:val="22"/>
                <w:szCs w:val="22"/>
              </w:rPr>
            </w:pPr>
          </w:p>
        </w:tc>
        <w:tc>
          <w:tcPr>
            <w:tcW w:w="1190" w:type="dxa"/>
            <w:tcBorders>
              <w:top w:val="nil"/>
              <w:left w:val="nil"/>
              <w:bottom w:val="nil"/>
              <w:right w:val="nil"/>
            </w:tcBorders>
            <w:shd w:val="clear" w:color="auto" w:fill="auto"/>
            <w:noWrap/>
            <w:vAlign w:val="bottom"/>
            <w:hideMark/>
          </w:tcPr>
          <w:p w14:paraId="574A5A3D"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Deferred</w:t>
            </w:r>
          </w:p>
        </w:tc>
        <w:tc>
          <w:tcPr>
            <w:tcW w:w="1190" w:type="dxa"/>
            <w:tcBorders>
              <w:top w:val="nil"/>
              <w:left w:val="nil"/>
              <w:bottom w:val="nil"/>
              <w:right w:val="nil"/>
            </w:tcBorders>
            <w:shd w:val="clear" w:color="auto" w:fill="auto"/>
            <w:noWrap/>
            <w:vAlign w:val="bottom"/>
            <w:hideMark/>
          </w:tcPr>
          <w:p w14:paraId="5A74AD60"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 xml:space="preserve">Deferred </w:t>
            </w:r>
          </w:p>
        </w:tc>
        <w:tc>
          <w:tcPr>
            <w:tcW w:w="1181" w:type="dxa"/>
            <w:tcBorders>
              <w:top w:val="nil"/>
              <w:left w:val="nil"/>
              <w:bottom w:val="nil"/>
              <w:right w:val="nil"/>
            </w:tcBorders>
            <w:shd w:val="clear" w:color="auto" w:fill="auto"/>
            <w:noWrap/>
            <w:vAlign w:val="bottom"/>
            <w:hideMark/>
          </w:tcPr>
          <w:p w14:paraId="492C2633"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Deferred</w:t>
            </w:r>
          </w:p>
        </w:tc>
        <w:tc>
          <w:tcPr>
            <w:tcW w:w="1299" w:type="dxa"/>
            <w:tcBorders>
              <w:top w:val="nil"/>
              <w:left w:val="nil"/>
              <w:bottom w:val="nil"/>
              <w:right w:val="nil"/>
            </w:tcBorders>
            <w:shd w:val="clear" w:color="auto" w:fill="auto"/>
            <w:noWrap/>
            <w:vAlign w:val="bottom"/>
            <w:hideMark/>
          </w:tcPr>
          <w:p w14:paraId="3DC242B3"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 xml:space="preserve">Deferred </w:t>
            </w:r>
          </w:p>
        </w:tc>
      </w:tr>
      <w:tr w:rsidR="00561167" w:rsidRPr="00B252C7" w14:paraId="4A8E2FE8" w14:textId="77777777" w:rsidTr="00561167">
        <w:trPr>
          <w:trHeight w:val="288"/>
        </w:trPr>
        <w:tc>
          <w:tcPr>
            <w:tcW w:w="3120" w:type="dxa"/>
            <w:tcBorders>
              <w:top w:val="nil"/>
              <w:left w:val="nil"/>
              <w:bottom w:val="nil"/>
              <w:right w:val="nil"/>
            </w:tcBorders>
            <w:shd w:val="clear" w:color="auto" w:fill="auto"/>
            <w:noWrap/>
            <w:vAlign w:val="bottom"/>
            <w:hideMark/>
          </w:tcPr>
          <w:p w14:paraId="046A8CC9" w14:textId="77777777" w:rsidR="00561167" w:rsidRPr="00B252C7" w:rsidRDefault="00561167" w:rsidP="00561167">
            <w:pPr>
              <w:rPr>
                <w:rFonts w:ascii="Calibri" w:eastAsia="Times New Roman" w:hAnsi="Calibri" w:cs="Times New Roman"/>
                <w:b/>
                <w:bCs/>
                <w:color w:val="000000"/>
                <w:sz w:val="22"/>
                <w:szCs w:val="22"/>
              </w:rPr>
            </w:pPr>
          </w:p>
        </w:tc>
        <w:tc>
          <w:tcPr>
            <w:tcW w:w="1190" w:type="dxa"/>
            <w:tcBorders>
              <w:top w:val="nil"/>
              <w:left w:val="nil"/>
              <w:bottom w:val="single" w:sz="4" w:space="0" w:color="auto"/>
              <w:right w:val="nil"/>
            </w:tcBorders>
            <w:shd w:val="clear" w:color="auto" w:fill="auto"/>
            <w:noWrap/>
            <w:vAlign w:val="bottom"/>
            <w:hideMark/>
          </w:tcPr>
          <w:p w14:paraId="06A7BF48"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Outflows</w:t>
            </w:r>
          </w:p>
        </w:tc>
        <w:tc>
          <w:tcPr>
            <w:tcW w:w="1190" w:type="dxa"/>
            <w:tcBorders>
              <w:top w:val="nil"/>
              <w:left w:val="nil"/>
              <w:bottom w:val="single" w:sz="4" w:space="0" w:color="auto"/>
              <w:right w:val="nil"/>
            </w:tcBorders>
            <w:shd w:val="clear" w:color="auto" w:fill="auto"/>
            <w:noWrap/>
            <w:vAlign w:val="bottom"/>
            <w:hideMark/>
          </w:tcPr>
          <w:p w14:paraId="6C61F2D6"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Inflows</w:t>
            </w:r>
          </w:p>
        </w:tc>
        <w:tc>
          <w:tcPr>
            <w:tcW w:w="1181" w:type="dxa"/>
            <w:tcBorders>
              <w:top w:val="nil"/>
              <w:left w:val="nil"/>
              <w:bottom w:val="single" w:sz="4" w:space="0" w:color="auto"/>
              <w:right w:val="nil"/>
            </w:tcBorders>
            <w:shd w:val="clear" w:color="auto" w:fill="auto"/>
            <w:noWrap/>
            <w:vAlign w:val="bottom"/>
            <w:hideMark/>
          </w:tcPr>
          <w:p w14:paraId="04ADF91A"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Outflows</w:t>
            </w:r>
          </w:p>
        </w:tc>
        <w:tc>
          <w:tcPr>
            <w:tcW w:w="1299" w:type="dxa"/>
            <w:tcBorders>
              <w:top w:val="nil"/>
              <w:left w:val="nil"/>
              <w:bottom w:val="single" w:sz="4" w:space="0" w:color="auto"/>
              <w:right w:val="nil"/>
            </w:tcBorders>
            <w:shd w:val="clear" w:color="auto" w:fill="auto"/>
            <w:noWrap/>
            <w:vAlign w:val="bottom"/>
            <w:hideMark/>
          </w:tcPr>
          <w:p w14:paraId="213A0994" w14:textId="77777777" w:rsidR="00561167" w:rsidRPr="00B252C7" w:rsidRDefault="00561167" w:rsidP="00561167">
            <w:pPr>
              <w:jc w:val="center"/>
              <w:rPr>
                <w:rFonts w:ascii="Calibri" w:eastAsia="Times New Roman" w:hAnsi="Calibri" w:cs="Times New Roman"/>
                <w:b/>
                <w:bCs/>
                <w:color w:val="000000"/>
                <w:sz w:val="22"/>
                <w:szCs w:val="22"/>
              </w:rPr>
            </w:pPr>
            <w:r w:rsidRPr="00B252C7">
              <w:rPr>
                <w:rFonts w:ascii="Calibri" w:eastAsia="Times New Roman" w:hAnsi="Calibri" w:cs="Times New Roman"/>
                <w:b/>
                <w:bCs/>
                <w:color w:val="000000"/>
                <w:sz w:val="22"/>
                <w:szCs w:val="22"/>
              </w:rPr>
              <w:t>Inflows</w:t>
            </w:r>
          </w:p>
        </w:tc>
      </w:tr>
      <w:tr w:rsidR="00561167" w:rsidRPr="00B252C7" w14:paraId="3E71F83A" w14:textId="77777777" w:rsidTr="00561167">
        <w:trPr>
          <w:trHeight w:val="552"/>
        </w:trPr>
        <w:tc>
          <w:tcPr>
            <w:tcW w:w="3120" w:type="dxa"/>
            <w:tcBorders>
              <w:top w:val="nil"/>
              <w:left w:val="nil"/>
              <w:bottom w:val="nil"/>
              <w:right w:val="nil"/>
            </w:tcBorders>
            <w:shd w:val="clear" w:color="auto" w:fill="auto"/>
            <w:hideMark/>
          </w:tcPr>
          <w:p w14:paraId="4BD0B983" w14:textId="77777777" w:rsidR="00561167" w:rsidRPr="00B252C7" w:rsidRDefault="00561167" w:rsidP="00561167">
            <w:pPr>
              <w:rPr>
                <w:rFonts w:eastAsia="Times New Roman" w:cs="Times New Roman"/>
                <w:color w:val="000000"/>
                <w:sz w:val="22"/>
                <w:szCs w:val="22"/>
              </w:rPr>
            </w:pPr>
            <w:r w:rsidRPr="00B252C7">
              <w:rPr>
                <w:rFonts w:eastAsia="Times New Roman" w:cs="Times New Roman"/>
                <w:color w:val="000000"/>
                <w:sz w:val="22"/>
                <w:szCs w:val="22"/>
              </w:rPr>
              <w:t>Difference between expected and actual experience</w:t>
            </w:r>
          </w:p>
        </w:tc>
        <w:tc>
          <w:tcPr>
            <w:tcW w:w="1190" w:type="dxa"/>
            <w:tcBorders>
              <w:top w:val="nil"/>
              <w:left w:val="nil"/>
              <w:bottom w:val="nil"/>
              <w:right w:val="nil"/>
            </w:tcBorders>
            <w:shd w:val="clear" w:color="auto" w:fill="auto"/>
            <w:noWrap/>
            <w:hideMark/>
          </w:tcPr>
          <w:p w14:paraId="2169B574"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1190" w:type="dxa"/>
            <w:tcBorders>
              <w:top w:val="nil"/>
              <w:left w:val="nil"/>
              <w:bottom w:val="nil"/>
              <w:right w:val="nil"/>
            </w:tcBorders>
            <w:shd w:val="clear" w:color="auto" w:fill="auto"/>
            <w:noWrap/>
            <w:hideMark/>
          </w:tcPr>
          <w:p w14:paraId="6F62D4F7"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1181" w:type="dxa"/>
            <w:tcBorders>
              <w:top w:val="nil"/>
              <w:left w:val="nil"/>
              <w:bottom w:val="nil"/>
              <w:right w:val="nil"/>
            </w:tcBorders>
            <w:shd w:val="clear" w:color="auto" w:fill="auto"/>
            <w:noWrap/>
            <w:hideMark/>
          </w:tcPr>
          <w:p w14:paraId="3D90FFEA"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$2,345</w:t>
            </w:r>
          </w:p>
        </w:tc>
        <w:tc>
          <w:tcPr>
            <w:tcW w:w="1299" w:type="dxa"/>
            <w:tcBorders>
              <w:top w:val="nil"/>
              <w:left w:val="nil"/>
              <w:bottom w:val="nil"/>
              <w:right w:val="nil"/>
            </w:tcBorders>
            <w:shd w:val="clear" w:color="auto" w:fill="auto"/>
            <w:noWrap/>
            <w:hideMark/>
          </w:tcPr>
          <w:p w14:paraId="7EB69B55"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$1,375</w:t>
            </w:r>
          </w:p>
        </w:tc>
      </w:tr>
      <w:tr w:rsidR="00561167" w:rsidRPr="00B252C7" w14:paraId="1A01E32E" w14:textId="77777777" w:rsidTr="00561167">
        <w:trPr>
          <w:trHeight w:val="828"/>
        </w:trPr>
        <w:tc>
          <w:tcPr>
            <w:tcW w:w="3120" w:type="dxa"/>
            <w:tcBorders>
              <w:top w:val="nil"/>
              <w:left w:val="nil"/>
              <w:bottom w:val="nil"/>
              <w:right w:val="nil"/>
            </w:tcBorders>
            <w:shd w:val="clear" w:color="auto" w:fill="auto"/>
            <w:hideMark/>
          </w:tcPr>
          <w:p w14:paraId="354C95B9" w14:textId="77777777" w:rsidR="00561167" w:rsidRPr="00B252C7" w:rsidRDefault="00561167" w:rsidP="00561167">
            <w:pPr>
              <w:rPr>
                <w:rFonts w:eastAsia="Times New Roman" w:cs="Times New Roman"/>
                <w:color w:val="000000"/>
                <w:sz w:val="22"/>
                <w:szCs w:val="22"/>
              </w:rPr>
            </w:pPr>
            <w:r w:rsidRPr="00B252C7">
              <w:rPr>
                <w:rFonts w:eastAsia="Times New Roman" w:cs="Times New Roman"/>
                <w:color w:val="000000"/>
                <w:sz w:val="22"/>
                <w:szCs w:val="22"/>
              </w:rPr>
              <w:t>Difference between expected and actual earnings of pension plan investments</w:t>
            </w:r>
          </w:p>
        </w:tc>
        <w:tc>
          <w:tcPr>
            <w:tcW w:w="1190" w:type="dxa"/>
            <w:tcBorders>
              <w:top w:val="nil"/>
              <w:left w:val="nil"/>
              <w:bottom w:val="nil"/>
              <w:right w:val="nil"/>
            </w:tcBorders>
            <w:shd w:val="clear" w:color="auto" w:fill="auto"/>
            <w:noWrap/>
            <w:hideMark/>
          </w:tcPr>
          <w:p w14:paraId="5618AD14"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$7,175</w:t>
            </w:r>
          </w:p>
        </w:tc>
        <w:tc>
          <w:tcPr>
            <w:tcW w:w="1190" w:type="dxa"/>
            <w:tcBorders>
              <w:top w:val="nil"/>
              <w:left w:val="nil"/>
              <w:bottom w:val="nil"/>
              <w:right w:val="nil"/>
            </w:tcBorders>
            <w:shd w:val="clear" w:color="auto" w:fill="auto"/>
            <w:noWrap/>
            <w:hideMark/>
          </w:tcPr>
          <w:p w14:paraId="0BB4AE10"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1181" w:type="dxa"/>
            <w:tcBorders>
              <w:top w:val="nil"/>
              <w:left w:val="nil"/>
              <w:bottom w:val="nil"/>
              <w:right w:val="nil"/>
            </w:tcBorders>
            <w:shd w:val="clear" w:color="auto" w:fill="auto"/>
            <w:noWrap/>
            <w:hideMark/>
          </w:tcPr>
          <w:p w14:paraId="2D864E77"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$4,989</w:t>
            </w:r>
          </w:p>
        </w:tc>
        <w:tc>
          <w:tcPr>
            <w:tcW w:w="1299" w:type="dxa"/>
            <w:tcBorders>
              <w:top w:val="nil"/>
              <w:left w:val="nil"/>
              <w:bottom w:val="nil"/>
              <w:right w:val="nil"/>
            </w:tcBorders>
            <w:shd w:val="clear" w:color="auto" w:fill="auto"/>
            <w:noWrap/>
            <w:hideMark/>
          </w:tcPr>
          <w:p w14:paraId="147CFCFB"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$0</w:t>
            </w:r>
          </w:p>
        </w:tc>
      </w:tr>
      <w:tr w:rsidR="00561167" w:rsidRPr="00B252C7" w14:paraId="5D253230" w14:textId="77777777" w:rsidTr="00561167">
        <w:trPr>
          <w:trHeight w:val="288"/>
        </w:trPr>
        <w:tc>
          <w:tcPr>
            <w:tcW w:w="3120" w:type="dxa"/>
            <w:tcBorders>
              <w:top w:val="nil"/>
              <w:left w:val="nil"/>
              <w:bottom w:val="nil"/>
              <w:right w:val="nil"/>
            </w:tcBorders>
            <w:shd w:val="clear" w:color="auto" w:fill="auto"/>
            <w:hideMark/>
          </w:tcPr>
          <w:p w14:paraId="557525D0" w14:textId="77777777" w:rsidR="00561167" w:rsidRPr="00B252C7" w:rsidRDefault="00561167" w:rsidP="00561167">
            <w:pPr>
              <w:rPr>
                <w:rFonts w:eastAsia="Times New Roman" w:cs="Times New Roman"/>
                <w:color w:val="000000"/>
                <w:sz w:val="22"/>
                <w:szCs w:val="22"/>
              </w:rPr>
            </w:pPr>
            <w:r w:rsidRPr="00B252C7">
              <w:rPr>
                <w:rFonts w:eastAsia="Times New Roman" w:cs="Times New Roman"/>
                <w:color w:val="000000"/>
                <w:sz w:val="22"/>
                <w:szCs w:val="22"/>
              </w:rPr>
              <w:t>Changes of Assumptions</w:t>
            </w:r>
          </w:p>
        </w:tc>
        <w:tc>
          <w:tcPr>
            <w:tcW w:w="1190" w:type="dxa"/>
            <w:tcBorders>
              <w:top w:val="nil"/>
              <w:left w:val="nil"/>
              <w:bottom w:val="nil"/>
              <w:right w:val="nil"/>
            </w:tcBorders>
            <w:shd w:val="clear" w:color="auto" w:fill="auto"/>
            <w:noWrap/>
            <w:hideMark/>
          </w:tcPr>
          <w:p w14:paraId="0A388F0E"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1190" w:type="dxa"/>
            <w:tcBorders>
              <w:top w:val="nil"/>
              <w:left w:val="nil"/>
              <w:bottom w:val="nil"/>
              <w:right w:val="nil"/>
            </w:tcBorders>
            <w:shd w:val="clear" w:color="auto" w:fill="auto"/>
            <w:noWrap/>
            <w:hideMark/>
          </w:tcPr>
          <w:p w14:paraId="36D4D48B"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1181" w:type="dxa"/>
            <w:tcBorders>
              <w:top w:val="nil"/>
              <w:left w:val="nil"/>
              <w:bottom w:val="nil"/>
              <w:right w:val="nil"/>
            </w:tcBorders>
            <w:shd w:val="clear" w:color="auto" w:fill="auto"/>
            <w:noWrap/>
            <w:hideMark/>
          </w:tcPr>
          <w:p w14:paraId="1DEAA4C7"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$316</w:t>
            </w:r>
          </w:p>
        </w:tc>
        <w:tc>
          <w:tcPr>
            <w:tcW w:w="1299" w:type="dxa"/>
            <w:tcBorders>
              <w:top w:val="nil"/>
              <w:left w:val="nil"/>
              <w:bottom w:val="nil"/>
              <w:right w:val="nil"/>
            </w:tcBorders>
            <w:shd w:val="clear" w:color="auto" w:fill="auto"/>
            <w:noWrap/>
            <w:hideMark/>
          </w:tcPr>
          <w:p w14:paraId="4DC01652"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$0</w:t>
            </w:r>
          </w:p>
        </w:tc>
      </w:tr>
      <w:tr w:rsidR="00561167" w:rsidRPr="00B252C7" w14:paraId="7BEDA395" w14:textId="77777777" w:rsidTr="00561167">
        <w:trPr>
          <w:trHeight w:val="828"/>
        </w:trPr>
        <w:tc>
          <w:tcPr>
            <w:tcW w:w="3120" w:type="dxa"/>
            <w:tcBorders>
              <w:top w:val="nil"/>
              <w:left w:val="nil"/>
              <w:bottom w:val="nil"/>
              <w:right w:val="nil"/>
            </w:tcBorders>
            <w:shd w:val="clear" w:color="auto" w:fill="auto"/>
            <w:hideMark/>
          </w:tcPr>
          <w:p w14:paraId="77033293" w14:textId="77777777" w:rsidR="00561167" w:rsidRPr="00B252C7" w:rsidRDefault="00561167" w:rsidP="00561167">
            <w:pPr>
              <w:rPr>
                <w:rFonts w:eastAsia="Times New Roman" w:cs="Times New Roman"/>
                <w:color w:val="000000"/>
                <w:sz w:val="22"/>
                <w:szCs w:val="22"/>
              </w:rPr>
            </w:pPr>
            <w:r w:rsidRPr="00B252C7">
              <w:rPr>
                <w:rFonts w:eastAsia="Times New Roman" w:cs="Times New Roman"/>
                <w:color w:val="000000"/>
                <w:sz w:val="22"/>
                <w:szCs w:val="22"/>
              </w:rPr>
              <w:t>Changes in College's proportionate share of pension liabilities</w:t>
            </w:r>
          </w:p>
        </w:tc>
        <w:tc>
          <w:tcPr>
            <w:tcW w:w="1190" w:type="dxa"/>
            <w:tcBorders>
              <w:top w:val="nil"/>
              <w:left w:val="nil"/>
              <w:bottom w:val="nil"/>
              <w:right w:val="nil"/>
            </w:tcBorders>
            <w:shd w:val="clear" w:color="auto" w:fill="auto"/>
            <w:noWrap/>
            <w:hideMark/>
          </w:tcPr>
          <w:p w14:paraId="50B83B1F"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1190" w:type="dxa"/>
            <w:tcBorders>
              <w:top w:val="nil"/>
              <w:left w:val="nil"/>
              <w:bottom w:val="nil"/>
              <w:right w:val="nil"/>
            </w:tcBorders>
            <w:shd w:val="clear" w:color="auto" w:fill="auto"/>
            <w:noWrap/>
            <w:hideMark/>
          </w:tcPr>
          <w:p w14:paraId="46C0E8B5"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1181" w:type="dxa"/>
            <w:tcBorders>
              <w:top w:val="nil"/>
              <w:left w:val="nil"/>
              <w:bottom w:val="nil"/>
              <w:right w:val="nil"/>
            </w:tcBorders>
            <w:shd w:val="clear" w:color="auto" w:fill="auto"/>
            <w:noWrap/>
            <w:hideMark/>
          </w:tcPr>
          <w:p w14:paraId="71AC366D"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$5,934</w:t>
            </w:r>
          </w:p>
        </w:tc>
        <w:tc>
          <w:tcPr>
            <w:tcW w:w="1299" w:type="dxa"/>
            <w:tcBorders>
              <w:top w:val="nil"/>
              <w:left w:val="nil"/>
              <w:bottom w:val="nil"/>
              <w:right w:val="nil"/>
            </w:tcBorders>
            <w:shd w:val="clear" w:color="auto" w:fill="auto"/>
            <w:noWrap/>
            <w:hideMark/>
          </w:tcPr>
          <w:p w14:paraId="76B0E928"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$1,969</w:t>
            </w:r>
          </w:p>
        </w:tc>
      </w:tr>
      <w:tr w:rsidR="00561167" w:rsidRPr="00B252C7" w14:paraId="149A5F93" w14:textId="77777777" w:rsidTr="00561167">
        <w:trPr>
          <w:trHeight w:val="552"/>
        </w:trPr>
        <w:tc>
          <w:tcPr>
            <w:tcW w:w="3120" w:type="dxa"/>
            <w:tcBorders>
              <w:top w:val="nil"/>
              <w:left w:val="nil"/>
              <w:bottom w:val="nil"/>
              <w:right w:val="nil"/>
            </w:tcBorders>
            <w:shd w:val="clear" w:color="auto" w:fill="auto"/>
            <w:hideMark/>
          </w:tcPr>
          <w:p w14:paraId="66A9754D" w14:textId="77777777" w:rsidR="00561167" w:rsidRPr="00B252C7" w:rsidRDefault="00561167" w:rsidP="00561167">
            <w:pPr>
              <w:rPr>
                <w:rFonts w:eastAsia="Times New Roman" w:cs="Times New Roman"/>
                <w:color w:val="000000"/>
                <w:sz w:val="22"/>
                <w:szCs w:val="22"/>
              </w:rPr>
            </w:pPr>
            <w:r w:rsidRPr="00B252C7">
              <w:rPr>
                <w:rFonts w:eastAsia="Times New Roman" w:cs="Times New Roman"/>
                <w:color w:val="000000"/>
                <w:sz w:val="22"/>
                <w:szCs w:val="22"/>
              </w:rPr>
              <w:t>Contributions to pension plans after measurement date</w:t>
            </w:r>
          </w:p>
        </w:tc>
        <w:tc>
          <w:tcPr>
            <w:tcW w:w="1190" w:type="dxa"/>
            <w:tcBorders>
              <w:top w:val="nil"/>
              <w:left w:val="nil"/>
              <w:bottom w:val="single" w:sz="4" w:space="0" w:color="auto"/>
              <w:right w:val="nil"/>
            </w:tcBorders>
            <w:shd w:val="clear" w:color="auto" w:fill="auto"/>
            <w:noWrap/>
            <w:hideMark/>
          </w:tcPr>
          <w:p w14:paraId="0E05F3A7"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$24,318</w:t>
            </w:r>
          </w:p>
        </w:tc>
        <w:tc>
          <w:tcPr>
            <w:tcW w:w="1190" w:type="dxa"/>
            <w:tcBorders>
              <w:top w:val="nil"/>
              <w:left w:val="nil"/>
              <w:bottom w:val="single" w:sz="4" w:space="0" w:color="auto"/>
              <w:right w:val="nil"/>
            </w:tcBorders>
            <w:shd w:val="clear" w:color="auto" w:fill="auto"/>
            <w:noWrap/>
            <w:hideMark/>
          </w:tcPr>
          <w:p w14:paraId="1560F7A1"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1181" w:type="dxa"/>
            <w:tcBorders>
              <w:top w:val="nil"/>
              <w:left w:val="nil"/>
              <w:bottom w:val="single" w:sz="4" w:space="0" w:color="auto"/>
              <w:right w:val="nil"/>
            </w:tcBorders>
            <w:shd w:val="clear" w:color="auto" w:fill="auto"/>
            <w:noWrap/>
            <w:hideMark/>
          </w:tcPr>
          <w:p w14:paraId="4408AA8A"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$15,477</w:t>
            </w:r>
          </w:p>
        </w:tc>
        <w:tc>
          <w:tcPr>
            <w:tcW w:w="1299" w:type="dxa"/>
            <w:tcBorders>
              <w:top w:val="nil"/>
              <w:left w:val="nil"/>
              <w:bottom w:val="single" w:sz="4" w:space="0" w:color="auto"/>
              <w:right w:val="nil"/>
            </w:tcBorders>
            <w:shd w:val="clear" w:color="auto" w:fill="auto"/>
            <w:noWrap/>
            <w:hideMark/>
          </w:tcPr>
          <w:p w14:paraId="1B833BD0" w14:textId="77777777" w:rsidR="00561167" w:rsidRPr="00B252C7" w:rsidRDefault="00561167" w:rsidP="0056116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r>
      <w:tr w:rsidR="00561167" w:rsidRPr="00B252C7" w14:paraId="31AEE98C" w14:textId="77777777" w:rsidTr="00561167">
        <w:trPr>
          <w:trHeight w:val="288"/>
        </w:trPr>
        <w:tc>
          <w:tcPr>
            <w:tcW w:w="3120" w:type="dxa"/>
            <w:tcBorders>
              <w:top w:val="nil"/>
              <w:left w:val="nil"/>
              <w:bottom w:val="nil"/>
              <w:right w:val="nil"/>
            </w:tcBorders>
            <w:shd w:val="clear" w:color="auto" w:fill="auto"/>
            <w:noWrap/>
            <w:vAlign w:val="bottom"/>
            <w:hideMark/>
          </w:tcPr>
          <w:p w14:paraId="0151490C" w14:textId="77777777" w:rsidR="00561167" w:rsidRPr="00B252C7" w:rsidRDefault="00561167" w:rsidP="00561167">
            <w:pPr>
              <w:rPr>
                <w:rFonts w:ascii="Calibri" w:eastAsia="Times New Roman" w:hAnsi="Calibri" w:cs="Times New Roman"/>
                <w:b/>
                <w:bCs/>
                <w:color w:val="000000"/>
                <w:sz w:val="22"/>
                <w:szCs w:val="22"/>
              </w:rPr>
            </w:pPr>
          </w:p>
        </w:tc>
        <w:tc>
          <w:tcPr>
            <w:tcW w:w="1190" w:type="dxa"/>
            <w:tcBorders>
              <w:top w:val="nil"/>
              <w:left w:val="nil"/>
              <w:bottom w:val="nil"/>
              <w:right w:val="nil"/>
            </w:tcBorders>
            <w:shd w:val="clear" w:color="auto" w:fill="auto"/>
            <w:noWrap/>
            <w:vAlign w:val="bottom"/>
            <w:hideMark/>
          </w:tcPr>
          <w:p w14:paraId="266BFF24" w14:textId="77777777" w:rsidR="00561167" w:rsidRPr="00B252C7" w:rsidRDefault="00561167" w:rsidP="00561167">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 xml:space="preserve"> $31,494             </w:t>
            </w:r>
          </w:p>
        </w:tc>
        <w:tc>
          <w:tcPr>
            <w:tcW w:w="1190" w:type="dxa"/>
            <w:tcBorders>
              <w:top w:val="nil"/>
              <w:left w:val="nil"/>
              <w:bottom w:val="nil"/>
              <w:right w:val="nil"/>
            </w:tcBorders>
            <w:shd w:val="clear" w:color="auto" w:fill="auto"/>
            <w:noWrap/>
            <w:vAlign w:val="bottom"/>
            <w:hideMark/>
          </w:tcPr>
          <w:p w14:paraId="1827E13F" w14:textId="77777777" w:rsidR="00561167" w:rsidRPr="00B252C7" w:rsidRDefault="00561167" w:rsidP="00561167">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 xml:space="preserve"> $0              </w:t>
            </w:r>
          </w:p>
        </w:tc>
        <w:tc>
          <w:tcPr>
            <w:tcW w:w="1181" w:type="dxa"/>
            <w:tcBorders>
              <w:top w:val="nil"/>
              <w:left w:val="nil"/>
              <w:bottom w:val="nil"/>
              <w:right w:val="nil"/>
            </w:tcBorders>
            <w:shd w:val="clear" w:color="auto" w:fill="auto"/>
            <w:noWrap/>
            <w:vAlign w:val="bottom"/>
            <w:hideMark/>
          </w:tcPr>
          <w:p w14:paraId="4CF8F2B5" w14:textId="77777777" w:rsidR="00561167" w:rsidRPr="00B252C7" w:rsidRDefault="00561167" w:rsidP="00561167">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 xml:space="preserve"> $29,060              </w:t>
            </w:r>
          </w:p>
        </w:tc>
        <w:tc>
          <w:tcPr>
            <w:tcW w:w="1299" w:type="dxa"/>
            <w:tcBorders>
              <w:top w:val="nil"/>
              <w:left w:val="nil"/>
              <w:bottom w:val="nil"/>
              <w:right w:val="nil"/>
            </w:tcBorders>
            <w:shd w:val="clear" w:color="auto" w:fill="auto"/>
            <w:noWrap/>
            <w:vAlign w:val="bottom"/>
            <w:hideMark/>
          </w:tcPr>
          <w:p w14:paraId="0583F086" w14:textId="77777777" w:rsidR="00561167" w:rsidRPr="00B252C7" w:rsidRDefault="00561167" w:rsidP="00561167">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 xml:space="preserve"> $3,344</w:t>
            </w:r>
            <w:r w:rsidRPr="00B252C7">
              <w:rPr>
                <w:rFonts w:ascii="Calibri" w:eastAsia="Times New Roman" w:hAnsi="Calibri" w:cs="Times New Roman"/>
                <w:b/>
                <w:bCs/>
                <w:color w:val="000000"/>
                <w:sz w:val="22"/>
                <w:szCs w:val="22"/>
              </w:rPr>
              <w:t xml:space="preserve">   </w:t>
            </w:r>
          </w:p>
        </w:tc>
      </w:tr>
    </w:tbl>
    <w:p w14:paraId="1E42616D" w14:textId="77777777" w:rsidR="00561167" w:rsidRDefault="00561167" w:rsidP="00561167">
      <w:pPr>
        <w:rPr>
          <w:b/>
          <w:bCs/>
          <w:iCs/>
        </w:rPr>
      </w:pPr>
    </w:p>
    <w:p w14:paraId="73A04399" w14:textId="77777777" w:rsidR="00561167" w:rsidRPr="00A23855" w:rsidRDefault="00561167" w:rsidP="00561167">
      <w:pPr>
        <w:rPr>
          <w:bCs/>
          <w:iCs/>
        </w:rPr>
      </w:pPr>
      <w:r w:rsidRPr="00DE7476">
        <w:rPr>
          <w:bCs/>
          <w:iCs/>
        </w:rPr>
        <w:t>The $1,866,421 reported as deferred outflows of resources represent contributions the College made subsequent to the measurement date and will be recognized as a reduction of the net pension liability for the year ended June 30, 2017.</w:t>
      </w:r>
    </w:p>
    <w:p w14:paraId="664E3CD7" w14:textId="77777777" w:rsidR="00561167" w:rsidRPr="00A23855" w:rsidRDefault="00561167" w:rsidP="00561167">
      <w:pPr>
        <w:rPr>
          <w:bCs/>
          <w:iCs/>
        </w:rPr>
      </w:pPr>
    </w:p>
    <w:p w14:paraId="6280F279" w14:textId="77777777" w:rsidR="00561167" w:rsidRPr="00A23855" w:rsidRDefault="00561167" w:rsidP="00561167">
      <w:pPr>
        <w:rPr>
          <w:bCs/>
          <w:iCs/>
        </w:rPr>
      </w:pPr>
      <w:r w:rsidRPr="00A23855">
        <w:rPr>
          <w:bCs/>
          <w:iCs/>
        </w:rPr>
        <w:t>Other amounts reported as deferred outflows and inflows of resources will be recognized in pension expense as follows</w:t>
      </w:r>
      <w:r>
        <w:rPr>
          <w:bCs/>
          <w:iCs/>
        </w:rPr>
        <w:t>:</w:t>
      </w:r>
    </w:p>
    <w:p w14:paraId="07E2FB28" w14:textId="77777777" w:rsidR="00561167" w:rsidRDefault="00561167" w:rsidP="00561167">
      <w:pPr>
        <w:rPr>
          <w:b/>
          <w:bCs/>
          <w:iCs/>
        </w:rPr>
      </w:pPr>
    </w:p>
    <w:tbl>
      <w:tblPr>
        <w:tblW w:w="8795" w:type="dxa"/>
        <w:tblInd w:w="93" w:type="dxa"/>
        <w:tblLook w:val="04A0" w:firstRow="1" w:lastRow="0" w:firstColumn="1" w:lastColumn="0" w:noHBand="0" w:noVBand="1"/>
      </w:tblPr>
      <w:tblGrid>
        <w:gridCol w:w="1995"/>
        <w:gridCol w:w="1700"/>
        <w:gridCol w:w="1700"/>
        <w:gridCol w:w="1700"/>
        <w:gridCol w:w="1700"/>
      </w:tblGrid>
      <w:tr w:rsidR="00561167" w:rsidRPr="00911E02" w14:paraId="44C72543" w14:textId="77777777" w:rsidTr="00561167">
        <w:trPr>
          <w:trHeight w:val="288"/>
        </w:trPr>
        <w:tc>
          <w:tcPr>
            <w:tcW w:w="1995" w:type="dxa"/>
            <w:tcBorders>
              <w:top w:val="single" w:sz="4" w:space="0" w:color="auto"/>
              <w:left w:val="single" w:sz="4" w:space="0" w:color="auto"/>
              <w:bottom w:val="nil"/>
              <w:right w:val="nil"/>
            </w:tcBorders>
            <w:shd w:val="clear" w:color="auto" w:fill="auto"/>
            <w:noWrap/>
            <w:vAlign w:val="bottom"/>
            <w:hideMark/>
          </w:tcPr>
          <w:p w14:paraId="29C9CFED"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Year ended June 30</w:t>
            </w:r>
          </w:p>
        </w:tc>
        <w:tc>
          <w:tcPr>
            <w:tcW w:w="1700" w:type="dxa"/>
            <w:tcBorders>
              <w:top w:val="single" w:sz="4" w:space="0" w:color="auto"/>
              <w:left w:val="nil"/>
              <w:bottom w:val="nil"/>
              <w:right w:val="nil"/>
            </w:tcBorders>
            <w:shd w:val="clear" w:color="auto" w:fill="auto"/>
            <w:noWrap/>
            <w:vAlign w:val="bottom"/>
            <w:hideMark/>
          </w:tcPr>
          <w:p w14:paraId="3E3A78E3" w14:textId="77777777" w:rsidR="00561167" w:rsidRPr="00911E02" w:rsidRDefault="00561167" w:rsidP="00561167">
            <w:pPr>
              <w:jc w:val="center"/>
              <w:rPr>
                <w:rFonts w:ascii="Calibri" w:eastAsia="Times New Roman" w:hAnsi="Calibri" w:cs="Times New Roman"/>
                <w:b/>
                <w:bCs/>
                <w:color w:val="000000"/>
                <w:sz w:val="22"/>
                <w:szCs w:val="22"/>
              </w:rPr>
            </w:pPr>
            <w:r w:rsidRPr="00911E02">
              <w:rPr>
                <w:rFonts w:ascii="Calibri" w:eastAsia="Times New Roman" w:hAnsi="Calibri" w:cs="Times New Roman"/>
                <w:b/>
                <w:bCs/>
                <w:color w:val="000000"/>
                <w:sz w:val="22"/>
                <w:szCs w:val="22"/>
              </w:rPr>
              <w:t>PERS 1**</w:t>
            </w:r>
          </w:p>
        </w:tc>
        <w:tc>
          <w:tcPr>
            <w:tcW w:w="1700" w:type="dxa"/>
            <w:tcBorders>
              <w:top w:val="single" w:sz="4" w:space="0" w:color="auto"/>
              <w:left w:val="nil"/>
              <w:bottom w:val="nil"/>
              <w:right w:val="nil"/>
            </w:tcBorders>
            <w:shd w:val="clear" w:color="auto" w:fill="auto"/>
            <w:noWrap/>
            <w:vAlign w:val="bottom"/>
            <w:hideMark/>
          </w:tcPr>
          <w:p w14:paraId="643C625F" w14:textId="77777777" w:rsidR="00561167" w:rsidRPr="00911E02" w:rsidRDefault="00561167" w:rsidP="00561167">
            <w:pPr>
              <w:rPr>
                <w:rFonts w:ascii="Calibri" w:eastAsia="Times New Roman" w:hAnsi="Calibri" w:cs="Times New Roman"/>
                <w:b/>
                <w:bCs/>
                <w:color w:val="000000"/>
                <w:sz w:val="22"/>
                <w:szCs w:val="22"/>
              </w:rPr>
            </w:pPr>
            <w:r w:rsidRPr="00911E02">
              <w:rPr>
                <w:rFonts w:ascii="Calibri" w:eastAsia="Times New Roman" w:hAnsi="Calibri" w:cs="Times New Roman"/>
                <w:b/>
                <w:bCs/>
                <w:color w:val="000000"/>
                <w:sz w:val="22"/>
                <w:szCs w:val="22"/>
              </w:rPr>
              <w:t>PERS 2/3</w:t>
            </w:r>
          </w:p>
        </w:tc>
        <w:tc>
          <w:tcPr>
            <w:tcW w:w="1700" w:type="dxa"/>
            <w:tcBorders>
              <w:top w:val="single" w:sz="4" w:space="0" w:color="auto"/>
              <w:left w:val="nil"/>
              <w:bottom w:val="nil"/>
              <w:right w:val="nil"/>
            </w:tcBorders>
            <w:shd w:val="clear" w:color="auto" w:fill="auto"/>
            <w:noWrap/>
            <w:vAlign w:val="bottom"/>
            <w:hideMark/>
          </w:tcPr>
          <w:p w14:paraId="7B96C268" w14:textId="77777777" w:rsidR="00561167" w:rsidRPr="00911E02" w:rsidRDefault="00561167" w:rsidP="00561167">
            <w:pPr>
              <w:rPr>
                <w:rFonts w:ascii="Calibri" w:eastAsia="Times New Roman" w:hAnsi="Calibri" w:cs="Times New Roman"/>
                <w:b/>
                <w:bCs/>
                <w:color w:val="000000"/>
                <w:sz w:val="22"/>
                <w:szCs w:val="22"/>
              </w:rPr>
            </w:pPr>
            <w:r w:rsidRPr="00911E02">
              <w:rPr>
                <w:rFonts w:ascii="Calibri" w:eastAsia="Times New Roman" w:hAnsi="Calibri" w:cs="Times New Roman"/>
                <w:b/>
                <w:bCs/>
                <w:color w:val="000000"/>
                <w:sz w:val="22"/>
                <w:szCs w:val="22"/>
              </w:rPr>
              <w:t>TRS 1**</w:t>
            </w:r>
          </w:p>
        </w:tc>
        <w:tc>
          <w:tcPr>
            <w:tcW w:w="1700" w:type="dxa"/>
            <w:tcBorders>
              <w:top w:val="single" w:sz="4" w:space="0" w:color="auto"/>
              <w:left w:val="nil"/>
              <w:bottom w:val="nil"/>
              <w:right w:val="single" w:sz="4" w:space="0" w:color="auto"/>
            </w:tcBorders>
            <w:shd w:val="clear" w:color="auto" w:fill="auto"/>
            <w:noWrap/>
            <w:vAlign w:val="bottom"/>
            <w:hideMark/>
          </w:tcPr>
          <w:p w14:paraId="61ACFF33" w14:textId="77777777" w:rsidR="00561167" w:rsidRPr="00911E02" w:rsidRDefault="00561167" w:rsidP="00561167">
            <w:pPr>
              <w:rPr>
                <w:rFonts w:ascii="Calibri" w:eastAsia="Times New Roman" w:hAnsi="Calibri" w:cs="Times New Roman"/>
                <w:b/>
                <w:bCs/>
                <w:color w:val="000000"/>
                <w:sz w:val="22"/>
                <w:szCs w:val="22"/>
              </w:rPr>
            </w:pPr>
            <w:r w:rsidRPr="00911E02">
              <w:rPr>
                <w:rFonts w:ascii="Calibri" w:eastAsia="Times New Roman" w:hAnsi="Calibri" w:cs="Times New Roman"/>
                <w:b/>
                <w:bCs/>
                <w:color w:val="000000"/>
                <w:sz w:val="22"/>
                <w:szCs w:val="22"/>
              </w:rPr>
              <w:t>TRS 2/3</w:t>
            </w:r>
          </w:p>
        </w:tc>
      </w:tr>
      <w:tr w:rsidR="00561167" w:rsidRPr="00911E02" w14:paraId="6C6EB274" w14:textId="77777777" w:rsidTr="00561167">
        <w:trPr>
          <w:trHeight w:val="288"/>
        </w:trPr>
        <w:tc>
          <w:tcPr>
            <w:tcW w:w="1995" w:type="dxa"/>
            <w:tcBorders>
              <w:top w:val="nil"/>
              <w:left w:val="single" w:sz="4" w:space="0" w:color="auto"/>
              <w:bottom w:val="nil"/>
              <w:right w:val="nil"/>
            </w:tcBorders>
            <w:shd w:val="clear" w:color="auto" w:fill="auto"/>
            <w:noWrap/>
            <w:vAlign w:val="bottom"/>
            <w:hideMark/>
          </w:tcPr>
          <w:p w14:paraId="26ED5E19" w14:textId="77777777" w:rsidR="00561167" w:rsidRPr="00911E02" w:rsidRDefault="00561167" w:rsidP="00561167">
            <w:pPr>
              <w:jc w:val="right"/>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2018</w:t>
            </w:r>
          </w:p>
        </w:tc>
        <w:tc>
          <w:tcPr>
            <w:tcW w:w="1700" w:type="dxa"/>
            <w:tcBorders>
              <w:top w:val="nil"/>
              <w:left w:val="nil"/>
              <w:bottom w:val="nil"/>
              <w:right w:val="nil"/>
            </w:tcBorders>
            <w:shd w:val="clear" w:color="auto" w:fill="auto"/>
            <w:noWrap/>
            <w:vAlign w:val="bottom"/>
            <w:hideMark/>
          </w:tcPr>
          <w:p w14:paraId="7B3FA7FD"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(24,053)</w:t>
            </w:r>
          </w:p>
        </w:tc>
        <w:tc>
          <w:tcPr>
            <w:tcW w:w="1700" w:type="dxa"/>
            <w:tcBorders>
              <w:top w:val="nil"/>
              <w:left w:val="nil"/>
              <w:bottom w:val="nil"/>
              <w:right w:val="nil"/>
            </w:tcBorders>
            <w:shd w:val="clear" w:color="auto" w:fill="auto"/>
            <w:noWrap/>
            <w:vAlign w:val="bottom"/>
            <w:hideMark/>
          </w:tcPr>
          <w:p w14:paraId="541C9CFB"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19,967</w:t>
            </w:r>
          </w:p>
        </w:tc>
        <w:tc>
          <w:tcPr>
            <w:tcW w:w="1700" w:type="dxa"/>
            <w:tcBorders>
              <w:top w:val="nil"/>
              <w:left w:val="nil"/>
              <w:bottom w:val="nil"/>
              <w:right w:val="nil"/>
            </w:tcBorders>
            <w:shd w:val="clear" w:color="auto" w:fill="auto"/>
            <w:noWrap/>
            <w:vAlign w:val="bottom"/>
            <w:hideMark/>
          </w:tcPr>
          <w:p w14:paraId="68BF1DA0"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(1,855)</w:t>
            </w:r>
          </w:p>
        </w:tc>
        <w:tc>
          <w:tcPr>
            <w:tcW w:w="1700" w:type="dxa"/>
            <w:tcBorders>
              <w:top w:val="nil"/>
              <w:left w:val="nil"/>
              <w:bottom w:val="nil"/>
              <w:right w:val="single" w:sz="4" w:space="0" w:color="auto"/>
            </w:tcBorders>
            <w:shd w:val="clear" w:color="auto" w:fill="auto"/>
            <w:noWrap/>
            <w:vAlign w:val="bottom"/>
            <w:hideMark/>
          </w:tcPr>
          <w:p w14:paraId="06E0782B"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1,499</w:t>
            </w:r>
          </w:p>
        </w:tc>
      </w:tr>
      <w:tr w:rsidR="00561167" w:rsidRPr="00911E02" w14:paraId="240E89F5" w14:textId="77777777" w:rsidTr="00561167">
        <w:trPr>
          <w:trHeight w:val="288"/>
        </w:trPr>
        <w:tc>
          <w:tcPr>
            <w:tcW w:w="1995" w:type="dxa"/>
            <w:tcBorders>
              <w:top w:val="nil"/>
              <w:left w:val="single" w:sz="4" w:space="0" w:color="auto"/>
              <w:bottom w:val="nil"/>
              <w:right w:val="nil"/>
            </w:tcBorders>
            <w:shd w:val="clear" w:color="auto" w:fill="auto"/>
            <w:noWrap/>
            <w:vAlign w:val="bottom"/>
            <w:hideMark/>
          </w:tcPr>
          <w:p w14:paraId="6DC10C1E" w14:textId="77777777" w:rsidR="00561167" w:rsidRPr="00911E02" w:rsidRDefault="00561167" w:rsidP="00561167">
            <w:pPr>
              <w:jc w:val="right"/>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2019</w:t>
            </w:r>
          </w:p>
        </w:tc>
        <w:tc>
          <w:tcPr>
            <w:tcW w:w="1700" w:type="dxa"/>
            <w:tcBorders>
              <w:top w:val="nil"/>
              <w:left w:val="nil"/>
              <w:bottom w:val="nil"/>
              <w:right w:val="nil"/>
            </w:tcBorders>
            <w:shd w:val="clear" w:color="auto" w:fill="auto"/>
            <w:noWrap/>
            <w:vAlign w:val="bottom"/>
            <w:hideMark/>
          </w:tcPr>
          <w:p w14:paraId="21FABE08"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(24,053)</w:t>
            </w:r>
          </w:p>
        </w:tc>
        <w:tc>
          <w:tcPr>
            <w:tcW w:w="1700" w:type="dxa"/>
            <w:tcBorders>
              <w:top w:val="nil"/>
              <w:left w:val="nil"/>
              <w:bottom w:val="nil"/>
              <w:right w:val="nil"/>
            </w:tcBorders>
            <w:shd w:val="clear" w:color="auto" w:fill="auto"/>
            <w:noWrap/>
            <w:vAlign w:val="bottom"/>
            <w:hideMark/>
          </w:tcPr>
          <w:p w14:paraId="2B58F85F"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12,352</w:t>
            </w:r>
          </w:p>
        </w:tc>
        <w:tc>
          <w:tcPr>
            <w:tcW w:w="1700" w:type="dxa"/>
            <w:tcBorders>
              <w:top w:val="nil"/>
              <w:left w:val="nil"/>
              <w:bottom w:val="nil"/>
              <w:right w:val="nil"/>
            </w:tcBorders>
            <w:shd w:val="clear" w:color="auto" w:fill="auto"/>
            <w:noWrap/>
            <w:vAlign w:val="bottom"/>
            <w:hideMark/>
          </w:tcPr>
          <w:p w14:paraId="0F3D2896"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(1,855)</w:t>
            </w:r>
          </w:p>
        </w:tc>
        <w:tc>
          <w:tcPr>
            <w:tcW w:w="1700" w:type="dxa"/>
            <w:tcBorders>
              <w:top w:val="nil"/>
              <w:left w:val="nil"/>
              <w:bottom w:val="nil"/>
              <w:right w:val="single" w:sz="4" w:space="0" w:color="auto"/>
            </w:tcBorders>
            <w:shd w:val="clear" w:color="auto" w:fill="auto"/>
            <w:noWrap/>
            <w:vAlign w:val="bottom"/>
            <w:hideMark/>
          </w:tcPr>
          <w:p w14:paraId="384AAE53"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1,499</w:t>
            </w:r>
          </w:p>
        </w:tc>
      </w:tr>
      <w:tr w:rsidR="00561167" w:rsidRPr="00911E02" w14:paraId="51F9BC98" w14:textId="77777777" w:rsidTr="00561167">
        <w:trPr>
          <w:trHeight w:val="288"/>
        </w:trPr>
        <w:tc>
          <w:tcPr>
            <w:tcW w:w="1995" w:type="dxa"/>
            <w:tcBorders>
              <w:top w:val="nil"/>
              <w:left w:val="single" w:sz="4" w:space="0" w:color="auto"/>
              <w:bottom w:val="nil"/>
              <w:right w:val="nil"/>
            </w:tcBorders>
            <w:shd w:val="clear" w:color="auto" w:fill="auto"/>
            <w:noWrap/>
            <w:vAlign w:val="bottom"/>
            <w:hideMark/>
          </w:tcPr>
          <w:p w14:paraId="5CCF53BE" w14:textId="77777777" w:rsidR="00561167" w:rsidRPr="00911E02" w:rsidRDefault="00561167" w:rsidP="00561167">
            <w:pPr>
              <w:jc w:val="right"/>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2020</w:t>
            </w:r>
          </w:p>
        </w:tc>
        <w:tc>
          <w:tcPr>
            <w:tcW w:w="1700" w:type="dxa"/>
            <w:tcBorders>
              <w:top w:val="nil"/>
              <w:left w:val="nil"/>
              <w:bottom w:val="nil"/>
              <w:right w:val="nil"/>
            </w:tcBorders>
            <w:shd w:val="clear" w:color="auto" w:fill="auto"/>
            <w:noWrap/>
            <w:vAlign w:val="bottom"/>
            <w:hideMark/>
          </w:tcPr>
          <w:p w14:paraId="18CC94C4"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89,716</w:t>
            </w:r>
          </w:p>
        </w:tc>
        <w:tc>
          <w:tcPr>
            <w:tcW w:w="1700" w:type="dxa"/>
            <w:tcBorders>
              <w:top w:val="nil"/>
              <w:left w:val="nil"/>
              <w:bottom w:val="nil"/>
              <w:right w:val="nil"/>
            </w:tcBorders>
            <w:shd w:val="clear" w:color="auto" w:fill="auto"/>
            <w:noWrap/>
            <w:vAlign w:val="bottom"/>
            <w:hideMark/>
          </w:tcPr>
          <w:p w14:paraId="7B73D687"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390,051</w:t>
            </w:r>
          </w:p>
        </w:tc>
        <w:tc>
          <w:tcPr>
            <w:tcW w:w="1700" w:type="dxa"/>
            <w:tcBorders>
              <w:top w:val="nil"/>
              <w:left w:val="nil"/>
              <w:bottom w:val="nil"/>
              <w:right w:val="nil"/>
            </w:tcBorders>
            <w:shd w:val="clear" w:color="auto" w:fill="auto"/>
            <w:noWrap/>
            <w:vAlign w:val="bottom"/>
            <w:hideMark/>
          </w:tcPr>
          <w:p w14:paraId="25F9E325"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6,713</w:t>
            </w:r>
          </w:p>
        </w:tc>
        <w:tc>
          <w:tcPr>
            <w:tcW w:w="1700" w:type="dxa"/>
            <w:tcBorders>
              <w:top w:val="nil"/>
              <w:left w:val="nil"/>
              <w:bottom w:val="nil"/>
              <w:right w:val="single" w:sz="4" w:space="0" w:color="auto"/>
            </w:tcBorders>
            <w:shd w:val="clear" w:color="auto" w:fill="auto"/>
            <w:noWrap/>
            <w:vAlign w:val="bottom"/>
            <w:hideMark/>
          </w:tcPr>
          <w:p w14:paraId="7E8BBDB5"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5,149</w:t>
            </w:r>
          </w:p>
        </w:tc>
      </w:tr>
      <w:tr w:rsidR="00561167" w:rsidRPr="00911E02" w14:paraId="06D2C4A6" w14:textId="77777777" w:rsidTr="00561167">
        <w:trPr>
          <w:trHeight w:val="288"/>
        </w:trPr>
        <w:tc>
          <w:tcPr>
            <w:tcW w:w="1995" w:type="dxa"/>
            <w:tcBorders>
              <w:top w:val="nil"/>
              <w:left w:val="single" w:sz="4" w:space="0" w:color="auto"/>
              <w:bottom w:val="nil"/>
              <w:right w:val="nil"/>
            </w:tcBorders>
            <w:shd w:val="clear" w:color="auto" w:fill="auto"/>
            <w:noWrap/>
            <w:vAlign w:val="bottom"/>
            <w:hideMark/>
          </w:tcPr>
          <w:p w14:paraId="74C4E629" w14:textId="77777777" w:rsidR="00561167" w:rsidRPr="00911E02" w:rsidRDefault="00561167" w:rsidP="00561167">
            <w:pPr>
              <w:jc w:val="right"/>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2021</w:t>
            </w:r>
          </w:p>
        </w:tc>
        <w:tc>
          <w:tcPr>
            <w:tcW w:w="1700" w:type="dxa"/>
            <w:tcBorders>
              <w:top w:val="nil"/>
              <w:left w:val="nil"/>
              <w:bottom w:val="nil"/>
              <w:right w:val="nil"/>
            </w:tcBorders>
            <w:shd w:val="clear" w:color="auto" w:fill="auto"/>
            <w:noWrap/>
            <w:vAlign w:val="bottom"/>
            <w:hideMark/>
          </w:tcPr>
          <w:p w14:paraId="40BEB605"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56,078</w:t>
            </w:r>
          </w:p>
        </w:tc>
        <w:tc>
          <w:tcPr>
            <w:tcW w:w="1700" w:type="dxa"/>
            <w:tcBorders>
              <w:top w:val="nil"/>
              <w:left w:val="nil"/>
              <w:bottom w:val="nil"/>
              <w:right w:val="nil"/>
            </w:tcBorders>
            <w:shd w:val="clear" w:color="auto" w:fill="auto"/>
            <w:noWrap/>
            <w:vAlign w:val="bottom"/>
            <w:hideMark/>
          </w:tcPr>
          <w:p w14:paraId="6F59B2DC"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241,955</w:t>
            </w:r>
          </w:p>
        </w:tc>
        <w:tc>
          <w:tcPr>
            <w:tcW w:w="1700" w:type="dxa"/>
            <w:tcBorders>
              <w:top w:val="nil"/>
              <w:left w:val="nil"/>
              <w:bottom w:val="nil"/>
              <w:right w:val="nil"/>
            </w:tcBorders>
            <w:shd w:val="clear" w:color="auto" w:fill="auto"/>
            <w:noWrap/>
            <w:vAlign w:val="bottom"/>
            <w:hideMark/>
          </w:tcPr>
          <w:p w14:paraId="5F2F81FA"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4,172</w:t>
            </w:r>
          </w:p>
        </w:tc>
        <w:tc>
          <w:tcPr>
            <w:tcW w:w="1700" w:type="dxa"/>
            <w:tcBorders>
              <w:top w:val="nil"/>
              <w:left w:val="nil"/>
              <w:bottom w:val="nil"/>
              <w:right w:val="single" w:sz="4" w:space="0" w:color="auto"/>
            </w:tcBorders>
            <w:shd w:val="clear" w:color="auto" w:fill="auto"/>
            <w:noWrap/>
            <w:vAlign w:val="bottom"/>
            <w:hideMark/>
          </w:tcPr>
          <w:p w14:paraId="3C9A4EEE"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2,370</w:t>
            </w:r>
          </w:p>
        </w:tc>
      </w:tr>
      <w:tr w:rsidR="00561167" w:rsidRPr="00911E02" w14:paraId="7B5D1420" w14:textId="77777777" w:rsidTr="00561167">
        <w:trPr>
          <w:trHeight w:val="288"/>
        </w:trPr>
        <w:tc>
          <w:tcPr>
            <w:tcW w:w="1995" w:type="dxa"/>
            <w:tcBorders>
              <w:top w:val="nil"/>
              <w:left w:val="single" w:sz="4" w:space="0" w:color="auto"/>
              <w:bottom w:val="nil"/>
              <w:right w:val="nil"/>
            </w:tcBorders>
            <w:shd w:val="clear" w:color="auto" w:fill="auto"/>
            <w:noWrap/>
            <w:vAlign w:val="bottom"/>
            <w:hideMark/>
          </w:tcPr>
          <w:p w14:paraId="5ECED305" w14:textId="77777777" w:rsidR="00561167" w:rsidRPr="00911E02" w:rsidRDefault="00561167" w:rsidP="00561167">
            <w:pPr>
              <w:jc w:val="right"/>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2022</w:t>
            </w:r>
          </w:p>
        </w:tc>
        <w:tc>
          <w:tcPr>
            <w:tcW w:w="1700" w:type="dxa"/>
            <w:tcBorders>
              <w:top w:val="nil"/>
              <w:left w:val="nil"/>
              <w:bottom w:val="nil"/>
              <w:right w:val="nil"/>
            </w:tcBorders>
            <w:shd w:val="clear" w:color="auto" w:fill="auto"/>
            <w:noWrap/>
            <w:vAlign w:val="bottom"/>
            <w:hideMark/>
          </w:tcPr>
          <w:p w14:paraId="3F8241EE"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w:t>
            </w:r>
          </w:p>
        </w:tc>
        <w:tc>
          <w:tcPr>
            <w:tcW w:w="1700" w:type="dxa"/>
            <w:tcBorders>
              <w:top w:val="nil"/>
              <w:left w:val="nil"/>
              <w:bottom w:val="nil"/>
              <w:right w:val="nil"/>
            </w:tcBorders>
            <w:shd w:val="clear" w:color="auto" w:fill="auto"/>
            <w:noWrap/>
            <w:vAlign w:val="bottom"/>
            <w:hideMark/>
          </w:tcPr>
          <w:p w14:paraId="03281C82"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w:t>
            </w:r>
          </w:p>
        </w:tc>
        <w:tc>
          <w:tcPr>
            <w:tcW w:w="1700" w:type="dxa"/>
            <w:tcBorders>
              <w:top w:val="nil"/>
              <w:left w:val="nil"/>
              <w:bottom w:val="nil"/>
              <w:right w:val="nil"/>
            </w:tcBorders>
            <w:shd w:val="clear" w:color="auto" w:fill="auto"/>
            <w:noWrap/>
            <w:vAlign w:val="bottom"/>
            <w:hideMark/>
          </w:tcPr>
          <w:p w14:paraId="34DA60EC"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w:t>
            </w:r>
          </w:p>
        </w:tc>
        <w:tc>
          <w:tcPr>
            <w:tcW w:w="1700" w:type="dxa"/>
            <w:tcBorders>
              <w:top w:val="nil"/>
              <w:left w:val="nil"/>
              <w:bottom w:val="nil"/>
              <w:right w:val="single" w:sz="4" w:space="0" w:color="auto"/>
            </w:tcBorders>
            <w:shd w:val="clear" w:color="auto" w:fill="auto"/>
            <w:noWrap/>
            <w:vAlign w:val="bottom"/>
            <w:hideMark/>
          </w:tcPr>
          <w:p w14:paraId="38C51255"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(276)</w:t>
            </w:r>
          </w:p>
        </w:tc>
      </w:tr>
      <w:tr w:rsidR="00561167" w:rsidRPr="00911E02" w14:paraId="49BF2EE0" w14:textId="77777777" w:rsidTr="00561167">
        <w:trPr>
          <w:trHeight w:val="288"/>
        </w:trPr>
        <w:tc>
          <w:tcPr>
            <w:tcW w:w="1995" w:type="dxa"/>
            <w:tcBorders>
              <w:top w:val="nil"/>
              <w:left w:val="single" w:sz="4" w:space="0" w:color="auto"/>
              <w:bottom w:val="single" w:sz="4" w:space="0" w:color="auto"/>
              <w:right w:val="nil"/>
            </w:tcBorders>
            <w:shd w:val="clear" w:color="auto" w:fill="auto"/>
            <w:noWrap/>
            <w:vAlign w:val="bottom"/>
            <w:hideMark/>
          </w:tcPr>
          <w:p w14:paraId="3CDA1A3E" w14:textId="77777777" w:rsidR="00561167" w:rsidRPr="00911E02" w:rsidRDefault="00561167" w:rsidP="00561167">
            <w:pPr>
              <w:jc w:val="right"/>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2023</w:t>
            </w:r>
          </w:p>
        </w:tc>
        <w:tc>
          <w:tcPr>
            <w:tcW w:w="1700" w:type="dxa"/>
            <w:tcBorders>
              <w:top w:val="nil"/>
              <w:left w:val="nil"/>
              <w:bottom w:val="single" w:sz="4" w:space="0" w:color="auto"/>
              <w:right w:val="nil"/>
            </w:tcBorders>
            <w:shd w:val="clear" w:color="auto" w:fill="auto"/>
            <w:noWrap/>
            <w:vAlign w:val="bottom"/>
            <w:hideMark/>
          </w:tcPr>
          <w:p w14:paraId="162D97DD"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w:t>
            </w:r>
          </w:p>
        </w:tc>
        <w:tc>
          <w:tcPr>
            <w:tcW w:w="1700" w:type="dxa"/>
            <w:tcBorders>
              <w:top w:val="nil"/>
              <w:left w:val="nil"/>
              <w:bottom w:val="single" w:sz="4" w:space="0" w:color="auto"/>
              <w:right w:val="nil"/>
            </w:tcBorders>
            <w:shd w:val="clear" w:color="auto" w:fill="auto"/>
            <w:noWrap/>
            <w:vAlign w:val="bottom"/>
            <w:hideMark/>
          </w:tcPr>
          <w:p w14:paraId="6E27BCDE"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w:t>
            </w:r>
          </w:p>
        </w:tc>
        <w:tc>
          <w:tcPr>
            <w:tcW w:w="1700" w:type="dxa"/>
            <w:tcBorders>
              <w:top w:val="nil"/>
              <w:left w:val="nil"/>
              <w:bottom w:val="single" w:sz="4" w:space="0" w:color="auto"/>
              <w:right w:val="nil"/>
            </w:tcBorders>
            <w:shd w:val="clear" w:color="auto" w:fill="auto"/>
            <w:noWrap/>
            <w:vAlign w:val="bottom"/>
            <w:hideMark/>
          </w:tcPr>
          <w:p w14:paraId="05858AB6"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6F27178B"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w:t>
            </w:r>
          </w:p>
        </w:tc>
      </w:tr>
      <w:tr w:rsidR="00561167" w:rsidRPr="00C9721A" w14:paraId="585ADF07" w14:textId="77777777" w:rsidTr="00561167">
        <w:trPr>
          <w:trHeight w:val="288"/>
        </w:trPr>
        <w:tc>
          <w:tcPr>
            <w:tcW w:w="1995" w:type="dxa"/>
            <w:tcBorders>
              <w:top w:val="single" w:sz="4" w:space="0" w:color="auto"/>
              <w:left w:val="single" w:sz="4" w:space="0" w:color="auto"/>
              <w:bottom w:val="single" w:sz="4" w:space="0" w:color="auto"/>
              <w:right w:val="nil"/>
            </w:tcBorders>
            <w:shd w:val="clear" w:color="auto" w:fill="auto"/>
            <w:noWrap/>
            <w:vAlign w:val="bottom"/>
            <w:hideMark/>
          </w:tcPr>
          <w:p w14:paraId="4676191F" w14:textId="77777777" w:rsidR="00561167" w:rsidRPr="00911E02" w:rsidRDefault="00561167" w:rsidP="00561167">
            <w:pPr>
              <w:rPr>
                <w:rFonts w:ascii="Calibri" w:eastAsia="Times New Roman" w:hAnsi="Calibri" w:cs="Times New Roman"/>
                <w:color w:val="000000"/>
                <w:sz w:val="22"/>
                <w:szCs w:val="22"/>
              </w:rPr>
            </w:pPr>
            <w:r w:rsidRPr="00911E02">
              <w:rPr>
                <w:rFonts w:ascii="Calibri" w:eastAsia="Times New Roman" w:hAnsi="Calibri" w:cs="Times New Roman"/>
                <w:color w:val="000000"/>
                <w:sz w:val="22"/>
                <w:szCs w:val="22"/>
              </w:rPr>
              <w:t xml:space="preserve">Total </w:t>
            </w:r>
          </w:p>
        </w:tc>
        <w:tc>
          <w:tcPr>
            <w:tcW w:w="1700" w:type="dxa"/>
            <w:tcBorders>
              <w:top w:val="single" w:sz="4" w:space="0" w:color="auto"/>
              <w:left w:val="nil"/>
              <w:bottom w:val="single" w:sz="4" w:space="0" w:color="auto"/>
              <w:right w:val="nil"/>
            </w:tcBorders>
            <w:shd w:val="clear" w:color="auto" w:fill="auto"/>
            <w:noWrap/>
            <w:vAlign w:val="bottom"/>
            <w:hideMark/>
          </w:tcPr>
          <w:p w14:paraId="3BAE9A9F" w14:textId="77777777" w:rsidR="00561167" w:rsidRPr="00911E02" w:rsidRDefault="00561167" w:rsidP="00561167">
            <w:pPr>
              <w:rPr>
                <w:rFonts w:ascii="Calibri" w:eastAsia="Times New Roman" w:hAnsi="Calibri" w:cs="Times New Roman"/>
                <w:b/>
                <w:bCs/>
                <w:color w:val="000000"/>
                <w:sz w:val="22"/>
                <w:szCs w:val="22"/>
              </w:rPr>
            </w:pPr>
            <w:r w:rsidRPr="00911E02">
              <w:rPr>
                <w:rFonts w:ascii="Calibri" w:eastAsia="Times New Roman" w:hAnsi="Calibri" w:cs="Times New Roman"/>
                <w:b/>
                <w:bCs/>
                <w:color w:val="000000"/>
                <w:sz w:val="22"/>
                <w:szCs w:val="22"/>
              </w:rPr>
              <w:t xml:space="preserve">                               $97,688</w:t>
            </w:r>
          </w:p>
        </w:tc>
        <w:tc>
          <w:tcPr>
            <w:tcW w:w="1700" w:type="dxa"/>
            <w:tcBorders>
              <w:top w:val="single" w:sz="4" w:space="0" w:color="auto"/>
              <w:left w:val="nil"/>
              <w:bottom w:val="single" w:sz="4" w:space="0" w:color="auto"/>
              <w:right w:val="nil"/>
            </w:tcBorders>
            <w:shd w:val="clear" w:color="auto" w:fill="auto"/>
            <w:noWrap/>
            <w:vAlign w:val="bottom"/>
            <w:hideMark/>
          </w:tcPr>
          <w:p w14:paraId="346E8FDE" w14:textId="77777777" w:rsidR="00561167" w:rsidRPr="00911E02" w:rsidRDefault="00561167" w:rsidP="00561167">
            <w:pPr>
              <w:rPr>
                <w:rFonts w:ascii="Calibri" w:eastAsia="Times New Roman" w:hAnsi="Calibri" w:cs="Times New Roman"/>
                <w:b/>
                <w:bCs/>
                <w:color w:val="000000"/>
                <w:sz w:val="22"/>
                <w:szCs w:val="22"/>
              </w:rPr>
            </w:pPr>
            <w:r w:rsidRPr="00911E02">
              <w:rPr>
                <w:rFonts w:ascii="Calibri" w:eastAsia="Times New Roman" w:hAnsi="Calibri" w:cs="Times New Roman"/>
                <w:b/>
                <w:bCs/>
                <w:color w:val="000000"/>
                <w:sz w:val="22"/>
                <w:szCs w:val="22"/>
              </w:rPr>
              <w:t xml:space="preserve"> $664,325                          </w:t>
            </w:r>
          </w:p>
        </w:tc>
        <w:tc>
          <w:tcPr>
            <w:tcW w:w="1700" w:type="dxa"/>
            <w:tcBorders>
              <w:top w:val="single" w:sz="4" w:space="0" w:color="auto"/>
              <w:left w:val="nil"/>
              <w:bottom w:val="single" w:sz="4" w:space="0" w:color="auto"/>
              <w:right w:val="nil"/>
            </w:tcBorders>
            <w:shd w:val="clear" w:color="auto" w:fill="auto"/>
            <w:noWrap/>
            <w:vAlign w:val="bottom"/>
            <w:hideMark/>
          </w:tcPr>
          <w:p w14:paraId="109203C7" w14:textId="77777777" w:rsidR="00561167" w:rsidRPr="00911E02" w:rsidRDefault="00561167" w:rsidP="00561167">
            <w:pPr>
              <w:rPr>
                <w:rFonts w:ascii="Calibri" w:eastAsia="Times New Roman" w:hAnsi="Calibri" w:cs="Times New Roman"/>
                <w:b/>
                <w:bCs/>
                <w:color w:val="000000"/>
                <w:sz w:val="22"/>
                <w:szCs w:val="22"/>
              </w:rPr>
            </w:pPr>
            <w:r w:rsidRPr="00911E02">
              <w:rPr>
                <w:rFonts w:ascii="Calibri" w:eastAsia="Times New Roman" w:hAnsi="Calibri" w:cs="Times New Roman"/>
                <w:b/>
                <w:bCs/>
                <w:color w:val="000000"/>
                <w:sz w:val="22"/>
                <w:szCs w:val="22"/>
              </w:rPr>
              <w:t xml:space="preserve">  $7,175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4CA7B1C0" w14:textId="77777777" w:rsidR="00561167" w:rsidRPr="00911E02" w:rsidRDefault="00561167" w:rsidP="00561167">
            <w:pPr>
              <w:rPr>
                <w:rFonts w:ascii="Calibri" w:eastAsia="Times New Roman" w:hAnsi="Calibri" w:cs="Times New Roman"/>
                <w:b/>
                <w:bCs/>
                <w:color w:val="000000"/>
                <w:sz w:val="22"/>
                <w:szCs w:val="22"/>
              </w:rPr>
            </w:pPr>
            <w:r w:rsidRPr="00911E02">
              <w:rPr>
                <w:rFonts w:ascii="Calibri" w:eastAsia="Times New Roman" w:hAnsi="Calibri" w:cs="Times New Roman"/>
                <w:b/>
                <w:bCs/>
                <w:color w:val="000000"/>
                <w:sz w:val="22"/>
                <w:szCs w:val="22"/>
              </w:rPr>
              <w:t xml:space="preserve">  $10,240                            </w:t>
            </w:r>
          </w:p>
        </w:tc>
      </w:tr>
    </w:tbl>
    <w:p w14:paraId="312AE5F0" w14:textId="77777777" w:rsidR="00561167" w:rsidRPr="00A23855" w:rsidRDefault="00561167" w:rsidP="00561167">
      <w:pPr>
        <w:rPr>
          <w:b/>
          <w:bCs/>
          <w:iCs/>
        </w:rPr>
      </w:pPr>
      <w:r>
        <w:rPr>
          <w:b/>
          <w:bCs/>
          <w:iCs/>
        </w:rPr>
        <w:br/>
      </w:r>
    </w:p>
    <w:p w14:paraId="55C3EC39" w14:textId="77777777" w:rsidR="00561167" w:rsidRDefault="00561167" w:rsidP="00561167">
      <w:pPr>
        <w:rPr>
          <w:b/>
          <w:bCs/>
          <w:i/>
          <w:iCs/>
        </w:rPr>
      </w:pPr>
    </w:p>
    <w:p w14:paraId="584A1DD9" w14:textId="77777777" w:rsidR="00561167" w:rsidRPr="00A23855" w:rsidRDefault="00561167" w:rsidP="00561167">
      <w:pPr>
        <w:rPr>
          <w:b/>
          <w:bCs/>
          <w:iCs/>
        </w:rPr>
      </w:pPr>
      <w:r w:rsidRPr="007E0E92">
        <w:rPr>
          <w:b/>
          <w:bCs/>
          <w:iCs/>
          <w:u w:val="single"/>
        </w:rPr>
        <w:t>C. College Participation in Plan Administered by the State Board for Community and Technical Colleges</w:t>
      </w:r>
      <w:r>
        <w:rPr>
          <w:b/>
          <w:bCs/>
          <w:i/>
          <w:iCs/>
        </w:rPr>
        <w:br/>
      </w:r>
      <w:r w:rsidRPr="00A23855">
        <w:rPr>
          <w:b/>
          <w:bCs/>
          <w:iCs/>
        </w:rPr>
        <w:t xml:space="preserve">State Board Retirement Plan </w:t>
      </w:r>
      <w:r>
        <w:rPr>
          <w:b/>
          <w:bCs/>
          <w:iCs/>
        </w:rPr>
        <w:t>(SBRP) – Supplemental Defined Benefits Plan</w:t>
      </w:r>
    </w:p>
    <w:p w14:paraId="2E67F130" w14:textId="77777777" w:rsidR="00561167" w:rsidRDefault="00561167" w:rsidP="00561167">
      <w:r w:rsidRPr="00476146">
        <w:rPr>
          <w:u w:val="single"/>
        </w:rPr>
        <w:t>Plan Description</w:t>
      </w:r>
    </w:p>
    <w:p w14:paraId="649C92BB" w14:textId="77777777" w:rsidR="00561167" w:rsidRDefault="00561167" w:rsidP="00561167">
      <w:r>
        <w:t xml:space="preserve">The </w:t>
      </w:r>
      <w:r w:rsidRPr="005257B0">
        <w:t xml:space="preserve">State Board Retirement </w:t>
      </w:r>
      <w:r>
        <w:t xml:space="preserve">Plan is a privately administered single-employer defined contribution plans with a supplemental defined benefit plan component which guarantees a minimum retirement benefit based upon a one-time calculation at each employee’s retirement date. The supplemental component is financed on a pay-as-you-go basis.  Skagit Valley College </w:t>
      </w:r>
      <w:r>
        <w:lastRenderedPageBreak/>
        <w:t>participates in this</w:t>
      </w:r>
      <w:r w:rsidRPr="005257B0">
        <w:t xml:space="preserve"> plan as authorized by chapter 28B.10 RCW, the plans cover faculty and other positions as designated by each participating employer.</w:t>
      </w:r>
      <w:r>
        <w:t xml:space="preserve"> State Board makes direct payments to qualifying retirees when the retirement benefits provided by the fund sponsors do not meet the benefit goals, no assets are accumulated in trusts or equivalent arrangements. </w:t>
      </w:r>
    </w:p>
    <w:p w14:paraId="65B5F708" w14:textId="77777777" w:rsidR="00561167" w:rsidRPr="00D161D9" w:rsidRDefault="00561167" w:rsidP="00561167"/>
    <w:p w14:paraId="10D2EBB7" w14:textId="77777777" w:rsidR="00561167" w:rsidRDefault="00561167" w:rsidP="00561167">
      <w:r>
        <w:rPr>
          <w:u w:val="single"/>
        </w:rPr>
        <w:t>Contributions</w:t>
      </w:r>
      <w:r>
        <w:t xml:space="preserve">. Contribution rates for the SBRP (TIAA-CREF), which are based upon age, are 5%, 7.5% or 10% of salary and are matched by the College.  Employee and employer contributions for the year ended June 30, 2017 were each </w:t>
      </w:r>
      <w:r w:rsidRPr="00931CB0">
        <w:t>$1,336,006.</w:t>
      </w:r>
      <w:r>
        <w:t xml:space="preserve">  </w:t>
      </w:r>
    </w:p>
    <w:p w14:paraId="06A97DFC" w14:textId="77777777" w:rsidR="00561167" w:rsidRDefault="00561167" w:rsidP="00561167"/>
    <w:p w14:paraId="2F52F05C" w14:textId="77777777" w:rsidR="00561167" w:rsidRDefault="00561167" w:rsidP="00561167">
      <w:r w:rsidRPr="007E0E92">
        <w:rPr>
          <w:u w:val="single"/>
        </w:rPr>
        <w:t>Benefits Provided</w:t>
      </w:r>
      <w:r>
        <w:t xml:space="preserve">.  The State Board Supplemental Retirement Plans provide retirement, disability, and death benefits to eligible members. </w:t>
      </w:r>
    </w:p>
    <w:p w14:paraId="1BDBBBA9" w14:textId="77777777" w:rsidR="00561167" w:rsidRDefault="00561167" w:rsidP="00561167"/>
    <w:p w14:paraId="57BB0BC0" w14:textId="77777777" w:rsidR="00561167" w:rsidRDefault="00561167" w:rsidP="00561167">
      <w:r>
        <w:t>As of July 1, 2011, all the Supplemental Retirement Plans were closed to new entrants.</w:t>
      </w:r>
    </w:p>
    <w:p w14:paraId="3DBE97EC" w14:textId="77777777" w:rsidR="00561167" w:rsidRDefault="00561167" w:rsidP="00561167"/>
    <w:p w14:paraId="53D70409" w14:textId="77777777" w:rsidR="00561167" w:rsidRDefault="00561167" w:rsidP="00561167">
      <w:r>
        <w:t>Members are eligible to receive benefits under this plan at age 62 with 10 years of credited service. The supplemental benefit is a lifetime benefit equal to the amount a member’s goal income exceeds their assumed income.  The monthly goal income is the one-twelfth of 2 percent of the member’s average annual salary multiplied by the number of years of service (such product not to exceed one-twelfth of fifty percent of the member’s average annual salary). The member’s assumed income is an annuity benefit the retired member would receive from their defined contribution Retirement Plan benefit in the first month of retirement had they invested all employer and member contributions equally between a fixed income and variable income annuity investment.</w:t>
      </w:r>
    </w:p>
    <w:p w14:paraId="7AC2BC29" w14:textId="77777777" w:rsidR="00561167" w:rsidRDefault="00561167" w:rsidP="00561167"/>
    <w:p w14:paraId="1BB96A81" w14:textId="77777777" w:rsidR="00561167" w:rsidRDefault="00561167" w:rsidP="00561167">
      <w:r>
        <w:t>Plan members have the option to retire early with reduced benefits.</w:t>
      </w:r>
    </w:p>
    <w:p w14:paraId="3337A936" w14:textId="77777777" w:rsidR="00561167" w:rsidRDefault="00561167" w:rsidP="00561167"/>
    <w:p w14:paraId="796347FE" w14:textId="77777777" w:rsidR="00561167" w:rsidRDefault="00561167" w:rsidP="00561167">
      <w:r>
        <w:t xml:space="preserve">The SBRP supplemental pension benefits are unfunded.  For the year ended June 30, 2017, supplemental benefits were paid by the SBCTC on behalf of the College in the amount of </w:t>
      </w:r>
      <w:r w:rsidRPr="00A60379">
        <w:t>$902,000.  In 2012, legislation (RCW 28B.10.423) was passed requiring colleges to pay into a Supplemental Benefit Fund managed by the State Investment Board, for the purpose of funding future benefit obligations.  During FY 2017, the College paid into this fund at a rate of 0.5% of covered salaries, totaling $76,704.93.  As of June 30, 2017, the Community and Technical College system accounted for $13,280,149.81 of the fund balance.</w:t>
      </w:r>
    </w:p>
    <w:p w14:paraId="70CDD122" w14:textId="77777777" w:rsidR="00561167" w:rsidRDefault="00561167" w:rsidP="00561167"/>
    <w:p w14:paraId="22DCFAEB" w14:textId="39EB1FE2" w:rsidR="00561167" w:rsidRDefault="00561167" w:rsidP="00561167"/>
    <w:p w14:paraId="0C32E597" w14:textId="40DD30ED" w:rsidR="00B00ED2" w:rsidRDefault="00B00ED2" w:rsidP="00561167"/>
    <w:p w14:paraId="00AAD788" w14:textId="2BAF1E1B" w:rsidR="00B00ED2" w:rsidRDefault="00B00ED2" w:rsidP="00561167"/>
    <w:p w14:paraId="1292BCB3" w14:textId="77777777" w:rsidR="00561167" w:rsidRDefault="00561167" w:rsidP="00561167">
      <w:r w:rsidRPr="007E0E92">
        <w:rPr>
          <w:b/>
        </w:rPr>
        <w:t>Actuarial Assumptions</w:t>
      </w:r>
    </w:p>
    <w:p w14:paraId="225DE2C4" w14:textId="77777777" w:rsidR="00561167" w:rsidRDefault="00561167" w:rsidP="00561167">
      <w:r>
        <w:t>The total pension liability was determined by an actuarial valuation as of June 30, 2016, with the results rolled forward to the June 30, 2017, measurement date using the following actuarial assumptions, applied to all periods included in the measurement:</w:t>
      </w:r>
    </w:p>
    <w:p w14:paraId="06D1347A" w14:textId="77777777" w:rsidR="00561167" w:rsidRDefault="00561167" w:rsidP="00561167"/>
    <w:p w14:paraId="22D6D36F" w14:textId="77777777" w:rsidR="00561167" w:rsidRDefault="00561167" w:rsidP="00561167">
      <w:pPr>
        <w:jc w:val="center"/>
      </w:pPr>
      <w:r>
        <w:rPr>
          <w:noProof/>
          <w:szCs w:val="20"/>
        </w:rPr>
        <w:lastRenderedPageBreak/>
        <w:drawing>
          <wp:inline distT="0" distB="0" distL="0" distR="0" wp14:anchorId="5648DA0B" wp14:editId="43E1AADE">
            <wp:extent cx="2686050" cy="685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86050" cy="685800"/>
                    </a:xfrm>
                    <a:prstGeom prst="rect">
                      <a:avLst/>
                    </a:prstGeom>
                    <a:noFill/>
                    <a:ln>
                      <a:noFill/>
                    </a:ln>
                  </pic:spPr>
                </pic:pic>
              </a:graphicData>
            </a:graphic>
          </wp:inline>
        </w:drawing>
      </w:r>
    </w:p>
    <w:p w14:paraId="267A1C1F" w14:textId="77777777" w:rsidR="00561167" w:rsidRDefault="00561167" w:rsidP="00561167"/>
    <w:p w14:paraId="3595A016" w14:textId="77777777" w:rsidR="00561167" w:rsidRDefault="00561167" w:rsidP="00561167">
      <w:r>
        <w:t xml:space="preserve">Mortality rates were based on the RP-2000 Combined Healthy Table and Combined Disabled Table published by the Society of Actuaries. The Office of the State Actuary applied offsets to the base table and recognized future improvements in mortality by projecting the mortality rates using 100 percent Scale BB. Mortality rates are applied on a generational basis, meaning members are assumed to receive additional mortality improvements in each future year, throughout their lifetime.  </w:t>
      </w:r>
    </w:p>
    <w:p w14:paraId="482B4921" w14:textId="77777777" w:rsidR="00561167" w:rsidRDefault="00561167" w:rsidP="00561167"/>
    <w:p w14:paraId="3FA1485C" w14:textId="77777777" w:rsidR="00561167" w:rsidRDefault="00561167" w:rsidP="00561167">
      <w:r>
        <w:t>Most actuarial assumptions used in the June 30, 2016, valuation were based on the results of the April 2016</w:t>
      </w:r>
      <w:r w:rsidRPr="0027706B">
        <w:t xml:space="preserve"> </w:t>
      </w:r>
      <w:r>
        <w:t xml:space="preserve">Supplemental Plan Experience Study. Additional assumptions related to the fixed income and variable income investments were based on feedback from financial administrators of the Higher Education Supplemental Retirement Plans. </w:t>
      </w:r>
    </w:p>
    <w:p w14:paraId="2961D54E" w14:textId="77777777" w:rsidR="00561167" w:rsidRDefault="00561167" w:rsidP="00561167"/>
    <w:p w14:paraId="2940C9AF" w14:textId="77777777" w:rsidR="00561167" w:rsidRDefault="00561167" w:rsidP="00561167">
      <w:r>
        <w:t>Material assumption changes during the measurement period include the discount rate increase from 2.85 percent to 3.58 percent and the variable income investment return assumption dropping from 6.75 percent to 6.25 percent.</w:t>
      </w:r>
    </w:p>
    <w:p w14:paraId="358608D4" w14:textId="77777777" w:rsidR="00561167" w:rsidRDefault="00561167" w:rsidP="00561167"/>
    <w:p w14:paraId="720D8714" w14:textId="77777777" w:rsidR="00561167" w:rsidRDefault="00561167" w:rsidP="00561167"/>
    <w:p w14:paraId="0C03F0D9" w14:textId="77777777" w:rsidR="00561167" w:rsidRDefault="00561167" w:rsidP="00561167">
      <w:r w:rsidRPr="007E0E92">
        <w:rPr>
          <w:b/>
        </w:rPr>
        <w:t>Discount Rate</w:t>
      </w:r>
      <w:r w:rsidRPr="0027706B">
        <w:t xml:space="preserve"> </w:t>
      </w:r>
      <w:r>
        <w:br/>
      </w:r>
      <w:r w:rsidRPr="0027706B">
        <w:t>The discount rate used to measure the total pension liability was set equal to the Bond Buyer General Obligation 20-Bond Municipal Bond Index, or 3.58 percent for the June 30, 2017, measurement date.</w:t>
      </w:r>
    </w:p>
    <w:p w14:paraId="0E3B5B93" w14:textId="77777777" w:rsidR="00561167" w:rsidRDefault="00561167" w:rsidP="00561167"/>
    <w:p w14:paraId="1634C65C" w14:textId="77777777" w:rsidR="00561167" w:rsidRDefault="00561167" w:rsidP="00561167"/>
    <w:p w14:paraId="01AA747E" w14:textId="77777777" w:rsidR="00561167" w:rsidRPr="007E0E92" w:rsidRDefault="00561167" w:rsidP="00561167">
      <w:pPr>
        <w:rPr>
          <w:b/>
        </w:rPr>
      </w:pPr>
      <w:r w:rsidRPr="007E0E92">
        <w:rPr>
          <w:b/>
        </w:rPr>
        <w:t>Pension Expense</w:t>
      </w:r>
    </w:p>
    <w:p w14:paraId="0343BAAD" w14:textId="77777777" w:rsidR="00561167" w:rsidRDefault="00561167" w:rsidP="00561167">
      <w:r w:rsidRPr="0027706B">
        <w:t>For the year ended June 30, 2017,</w:t>
      </w:r>
      <w:r>
        <w:t xml:space="preserve"> </w:t>
      </w:r>
      <w:r w:rsidRPr="00626FC3">
        <w:t>Skagit Valley College</w:t>
      </w:r>
      <w:r w:rsidRPr="0027706B">
        <w:t xml:space="preserve"> </w:t>
      </w:r>
      <w:r>
        <w:t xml:space="preserve">reported </w:t>
      </w:r>
      <w:r w:rsidRPr="00A60379">
        <w:t>$109,091</w:t>
      </w:r>
      <w:r>
        <w:t xml:space="preserve"> for pension expense in </w:t>
      </w:r>
      <w:r w:rsidRPr="0027706B">
        <w:t>the Higher Education Supplemental Retirement Plans</w:t>
      </w:r>
      <w:r>
        <w:t>.</w:t>
      </w:r>
    </w:p>
    <w:p w14:paraId="585D3B77" w14:textId="76DD3949" w:rsidR="00561167" w:rsidRDefault="00561167" w:rsidP="00561167"/>
    <w:p w14:paraId="1FEBAF04" w14:textId="401B08C2" w:rsidR="00B00ED2" w:rsidRDefault="00B00ED2" w:rsidP="00561167"/>
    <w:p w14:paraId="682BC806" w14:textId="64162F27" w:rsidR="00B00ED2" w:rsidRDefault="00B00ED2" w:rsidP="00561167"/>
    <w:p w14:paraId="421BDBC9" w14:textId="2811CD82" w:rsidR="00B00ED2" w:rsidRDefault="00B00ED2" w:rsidP="00561167"/>
    <w:p w14:paraId="4E05B87C" w14:textId="77777777" w:rsidR="00B00ED2" w:rsidRDefault="00B00ED2" w:rsidP="00561167"/>
    <w:p w14:paraId="0BBF330C" w14:textId="77777777" w:rsidR="00561167" w:rsidRDefault="00561167" w:rsidP="00561167"/>
    <w:p w14:paraId="411617FE" w14:textId="77777777" w:rsidR="00561167" w:rsidRPr="007E0E92" w:rsidRDefault="00561167" w:rsidP="00561167">
      <w:pPr>
        <w:rPr>
          <w:b/>
        </w:rPr>
      </w:pPr>
      <w:r w:rsidRPr="007E0E92">
        <w:rPr>
          <w:b/>
        </w:rPr>
        <w:t>Proportionate Shares of Pension Liabilities</w:t>
      </w:r>
    </w:p>
    <w:p w14:paraId="07A353CD" w14:textId="77777777" w:rsidR="00561167" w:rsidRPr="0027706B" w:rsidRDefault="00561167" w:rsidP="00561167">
      <w:r>
        <w:t>The College’s proportionate share of pension liabilities for fiscal year ending June 30, 2017 was 2</w:t>
      </w:r>
      <w:r w:rsidRPr="00DB110D">
        <w:t>.79%.</w:t>
      </w:r>
      <w:r>
        <w:t xml:space="preserve"> The College’s proportion of the net pension liability was based on a projection of the College’s long-term share of contributions to the pension plan to the projected contributions of all participating College’s, actuarially determined.</w:t>
      </w:r>
    </w:p>
    <w:p w14:paraId="1FD2A1DD" w14:textId="77777777" w:rsidR="00561167" w:rsidRDefault="00561167" w:rsidP="00561167"/>
    <w:p w14:paraId="6E984C36" w14:textId="77777777" w:rsidR="00561167" w:rsidRDefault="00561167" w:rsidP="00561167"/>
    <w:p w14:paraId="63B0A4E8" w14:textId="77777777" w:rsidR="00561167" w:rsidRDefault="00561167" w:rsidP="00561167">
      <w:r w:rsidRPr="007E0E92">
        <w:rPr>
          <w:b/>
        </w:rPr>
        <w:t>Plan Membership</w:t>
      </w:r>
      <w:r>
        <w:br/>
      </w:r>
      <w:r w:rsidRPr="0027706B">
        <w:t xml:space="preserve">Membership of the </w:t>
      </w:r>
      <w:r>
        <w:t>State Board</w:t>
      </w:r>
      <w:r w:rsidRPr="0027706B">
        <w:t xml:space="preserve"> Supplemental Retirement Plans consisted of the following at June 30, 2016, the date of the latest a</w:t>
      </w:r>
      <w:r>
        <w:t>ctuarial valuation:</w:t>
      </w:r>
    </w:p>
    <w:p w14:paraId="1B457684" w14:textId="3268FDC3" w:rsidR="00561167" w:rsidRDefault="00561167" w:rsidP="00561167"/>
    <w:p w14:paraId="52E0765A" w14:textId="77777777" w:rsidR="00561167" w:rsidRDefault="00561167" w:rsidP="00561167"/>
    <w:tbl>
      <w:tblPr>
        <w:tblW w:w="9080" w:type="dxa"/>
        <w:jc w:val="center"/>
        <w:tblLook w:val="04A0" w:firstRow="1" w:lastRow="0" w:firstColumn="1" w:lastColumn="0" w:noHBand="0" w:noVBand="1"/>
      </w:tblPr>
      <w:tblGrid>
        <w:gridCol w:w="2060"/>
        <w:gridCol w:w="2220"/>
        <w:gridCol w:w="2080"/>
        <w:gridCol w:w="1400"/>
        <w:gridCol w:w="1320"/>
      </w:tblGrid>
      <w:tr w:rsidR="00561167" w:rsidRPr="007B06B7" w14:paraId="2F3EA40A" w14:textId="77777777" w:rsidTr="00B00ED2">
        <w:trPr>
          <w:trHeight w:val="510"/>
          <w:jc w:val="center"/>
        </w:trPr>
        <w:tc>
          <w:tcPr>
            <w:tcW w:w="9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82930B7" w14:textId="77777777" w:rsidR="00561167" w:rsidRPr="007B06B7" w:rsidRDefault="00561167" w:rsidP="00561167">
            <w:pPr>
              <w:jc w:val="center"/>
              <w:rPr>
                <w:rFonts w:ascii="Calibri" w:eastAsia="Times New Roman" w:hAnsi="Calibri" w:cs="Times New Roman"/>
                <w:color w:val="000000"/>
                <w:sz w:val="22"/>
                <w:szCs w:val="22"/>
              </w:rPr>
            </w:pPr>
            <w:r w:rsidRPr="007B06B7">
              <w:rPr>
                <w:rFonts w:ascii="Calibri" w:eastAsia="Times New Roman" w:hAnsi="Calibri" w:cs="Times New Roman"/>
                <w:color w:val="000000"/>
                <w:sz w:val="22"/>
                <w:szCs w:val="22"/>
              </w:rPr>
              <w:t>Number of Participating Members</w:t>
            </w:r>
          </w:p>
        </w:tc>
      </w:tr>
      <w:tr w:rsidR="00561167" w:rsidRPr="007B06B7" w14:paraId="7DE85090" w14:textId="77777777" w:rsidTr="00B00ED2">
        <w:trPr>
          <w:trHeight w:val="1215"/>
          <w:jc w:val="center"/>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1127D905" w14:textId="77777777" w:rsidR="00561167" w:rsidRPr="007B06B7" w:rsidRDefault="00561167" w:rsidP="00561167">
            <w:pPr>
              <w:rPr>
                <w:rFonts w:ascii="Calibri" w:eastAsia="Times New Roman" w:hAnsi="Calibri" w:cs="Times New Roman"/>
                <w:color w:val="000000"/>
                <w:sz w:val="22"/>
                <w:szCs w:val="22"/>
              </w:rPr>
            </w:pPr>
            <w:r w:rsidRPr="007B06B7">
              <w:rPr>
                <w:rFonts w:ascii="Calibri" w:eastAsia="Times New Roman" w:hAnsi="Calibri" w:cs="Times New Roman"/>
                <w:color w:val="000000"/>
                <w:sz w:val="22"/>
                <w:szCs w:val="22"/>
              </w:rPr>
              <w:t>District</w:t>
            </w:r>
          </w:p>
        </w:tc>
        <w:tc>
          <w:tcPr>
            <w:tcW w:w="2220" w:type="dxa"/>
            <w:tcBorders>
              <w:top w:val="nil"/>
              <w:left w:val="nil"/>
              <w:bottom w:val="single" w:sz="4" w:space="0" w:color="auto"/>
              <w:right w:val="single" w:sz="4" w:space="0" w:color="auto"/>
            </w:tcBorders>
            <w:shd w:val="clear" w:color="auto" w:fill="auto"/>
            <w:vAlign w:val="bottom"/>
            <w:hideMark/>
          </w:tcPr>
          <w:p w14:paraId="40BD4FEF" w14:textId="77777777" w:rsidR="00561167" w:rsidRPr="007B06B7" w:rsidRDefault="00561167" w:rsidP="00561167">
            <w:pPr>
              <w:rPr>
                <w:rFonts w:ascii="Calibri" w:eastAsia="Times New Roman" w:hAnsi="Calibri" w:cs="Times New Roman"/>
                <w:color w:val="000000"/>
                <w:sz w:val="22"/>
                <w:szCs w:val="22"/>
              </w:rPr>
            </w:pPr>
            <w:r w:rsidRPr="007B06B7">
              <w:rPr>
                <w:rFonts w:ascii="Calibri" w:eastAsia="Times New Roman" w:hAnsi="Calibri" w:cs="Times New Roman"/>
                <w:color w:val="000000"/>
                <w:sz w:val="22"/>
                <w:szCs w:val="22"/>
              </w:rPr>
              <w:t>Inactive Members (Or Beneficiaries) Currently Receiving Benefits)</w:t>
            </w:r>
          </w:p>
        </w:tc>
        <w:tc>
          <w:tcPr>
            <w:tcW w:w="2080" w:type="dxa"/>
            <w:tcBorders>
              <w:top w:val="nil"/>
              <w:left w:val="nil"/>
              <w:bottom w:val="single" w:sz="4" w:space="0" w:color="auto"/>
              <w:right w:val="single" w:sz="4" w:space="0" w:color="auto"/>
            </w:tcBorders>
            <w:shd w:val="clear" w:color="auto" w:fill="auto"/>
            <w:vAlign w:val="bottom"/>
            <w:hideMark/>
          </w:tcPr>
          <w:p w14:paraId="39B069BA" w14:textId="77777777" w:rsidR="00561167" w:rsidRPr="007B06B7" w:rsidRDefault="00561167" w:rsidP="00561167">
            <w:pPr>
              <w:rPr>
                <w:rFonts w:ascii="Calibri" w:eastAsia="Times New Roman" w:hAnsi="Calibri" w:cs="Times New Roman"/>
                <w:color w:val="000000"/>
                <w:sz w:val="22"/>
                <w:szCs w:val="22"/>
              </w:rPr>
            </w:pPr>
            <w:r w:rsidRPr="007B06B7">
              <w:rPr>
                <w:rFonts w:ascii="Calibri" w:eastAsia="Times New Roman" w:hAnsi="Calibri" w:cs="Times New Roman"/>
                <w:color w:val="000000"/>
                <w:sz w:val="22"/>
                <w:szCs w:val="22"/>
              </w:rPr>
              <w:t>Inactive Members Entitled To But Not Yet Receiving Benefits</w:t>
            </w:r>
          </w:p>
        </w:tc>
        <w:tc>
          <w:tcPr>
            <w:tcW w:w="1400" w:type="dxa"/>
            <w:tcBorders>
              <w:top w:val="nil"/>
              <w:left w:val="nil"/>
              <w:bottom w:val="single" w:sz="4" w:space="0" w:color="auto"/>
              <w:right w:val="single" w:sz="4" w:space="0" w:color="auto"/>
            </w:tcBorders>
            <w:shd w:val="clear" w:color="auto" w:fill="auto"/>
            <w:vAlign w:val="bottom"/>
            <w:hideMark/>
          </w:tcPr>
          <w:p w14:paraId="3FD4DF9C" w14:textId="77777777" w:rsidR="00561167" w:rsidRPr="007B06B7" w:rsidRDefault="00561167" w:rsidP="00561167">
            <w:pPr>
              <w:rPr>
                <w:rFonts w:ascii="Calibri" w:eastAsia="Times New Roman" w:hAnsi="Calibri" w:cs="Times New Roman"/>
                <w:color w:val="000000"/>
                <w:sz w:val="22"/>
                <w:szCs w:val="22"/>
              </w:rPr>
            </w:pPr>
            <w:r w:rsidRPr="007B06B7">
              <w:rPr>
                <w:rFonts w:ascii="Calibri" w:eastAsia="Times New Roman" w:hAnsi="Calibri" w:cs="Times New Roman"/>
                <w:color w:val="000000"/>
                <w:sz w:val="22"/>
                <w:szCs w:val="22"/>
              </w:rPr>
              <w:t>Active Members</w:t>
            </w:r>
          </w:p>
        </w:tc>
        <w:tc>
          <w:tcPr>
            <w:tcW w:w="1320" w:type="dxa"/>
            <w:tcBorders>
              <w:top w:val="nil"/>
              <w:left w:val="nil"/>
              <w:bottom w:val="single" w:sz="4" w:space="0" w:color="auto"/>
              <w:right w:val="single" w:sz="4" w:space="0" w:color="auto"/>
            </w:tcBorders>
            <w:shd w:val="clear" w:color="auto" w:fill="auto"/>
            <w:vAlign w:val="bottom"/>
            <w:hideMark/>
          </w:tcPr>
          <w:p w14:paraId="649331BF" w14:textId="77777777" w:rsidR="00561167" w:rsidRPr="007B06B7" w:rsidRDefault="00561167" w:rsidP="00561167">
            <w:pPr>
              <w:rPr>
                <w:rFonts w:ascii="Calibri" w:eastAsia="Times New Roman" w:hAnsi="Calibri" w:cs="Times New Roman"/>
                <w:color w:val="000000"/>
                <w:sz w:val="22"/>
                <w:szCs w:val="22"/>
              </w:rPr>
            </w:pPr>
            <w:r w:rsidRPr="007B06B7">
              <w:rPr>
                <w:rFonts w:ascii="Calibri" w:eastAsia="Times New Roman" w:hAnsi="Calibri" w:cs="Times New Roman"/>
                <w:color w:val="000000"/>
                <w:sz w:val="22"/>
                <w:szCs w:val="22"/>
              </w:rPr>
              <w:t>Total Members</w:t>
            </w:r>
          </w:p>
        </w:tc>
      </w:tr>
      <w:tr w:rsidR="00561167" w:rsidRPr="007B06B7" w14:paraId="3DE2993A" w14:textId="77777777" w:rsidTr="00B00ED2">
        <w:trPr>
          <w:trHeight w:val="600"/>
          <w:jc w:val="center"/>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54679EE5" w14:textId="77777777" w:rsidR="00561167" w:rsidRPr="007B06B7" w:rsidRDefault="00561167" w:rsidP="00561167">
            <w:pPr>
              <w:rPr>
                <w:rFonts w:ascii="Calibri" w:eastAsia="Times New Roman" w:hAnsi="Calibri" w:cs="Times New Roman"/>
                <w:color w:val="000000"/>
                <w:sz w:val="22"/>
                <w:szCs w:val="22"/>
              </w:rPr>
            </w:pPr>
            <w:r w:rsidRPr="007B06B7">
              <w:rPr>
                <w:rFonts w:ascii="Calibri" w:eastAsia="Times New Roman" w:hAnsi="Calibri" w:cs="Times New Roman"/>
                <w:color w:val="000000"/>
                <w:sz w:val="22"/>
                <w:szCs w:val="22"/>
              </w:rPr>
              <w:t>Skagit Valley College</w:t>
            </w:r>
          </w:p>
        </w:tc>
        <w:tc>
          <w:tcPr>
            <w:tcW w:w="2220" w:type="dxa"/>
            <w:tcBorders>
              <w:top w:val="nil"/>
              <w:left w:val="nil"/>
              <w:bottom w:val="single" w:sz="4" w:space="0" w:color="auto"/>
              <w:right w:val="single" w:sz="4" w:space="0" w:color="auto"/>
            </w:tcBorders>
            <w:shd w:val="clear" w:color="auto" w:fill="auto"/>
            <w:noWrap/>
            <w:vAlign w:val="bottom"/>
            <w:hideMark/>
          </w:tcPr>
          <w:p w14:paraId="26479754" w14:textId="77777777" w:rsidR="00561167" w:rsidRPr="007B06B7" w:rsidRDefault="00561167" w:rsidP="00561167">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19</w:t>
            </w:r>
          </w:p>
        </w:tc>
        <w:tc>
          <w:tcPr>
            <w:tcW w:w="2080" w:type="dxa"/>
            <w:tcBorders>
              <w:top w:val="nil"/>
              <w:left w:val="nil"/>
              <w:bottom w:val="single" w:sz="4" w:space="0" w:color="auto"/>
              <w:right w:val="single" w:sz="4" w:space="0" w:color="auto"/>
            </w:tcBorders>
            <w:shd w:val="clear" w:color="auto" w:fill="auto"/>
            <w:noWrap/>
            <w:vAlign w:val="bottom"/>
            <w:hideMark/>
          </w:tcPr>
          <w:p w14:paraId="238526B7" w14:textId="77777777" w:rsidR="00561167" w:rsidRPr="007B06B7" w:rsidRDefault="00561167" w:rsidP="00561167">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4</w:t>
            </w:r>
          </w:p>
        </w:tc>
        <w:tc>
          <w:tcPr>
            <w:tcW w:w="1400" w:type="dxa"/>
            <w:tcBorders>
              <w:top w:val="nil"/>
              <w:left w:val="nil"/>
              <w:bottom w:val="single" w:sz="4" w:space="0" w:color="auto"/>
              <w:right w:val="single" w:sz="4" w:space="0" w:color="auto"/>
            </w:tcBorders>
            <w:shd w:val="clear" w:color="auto" w:fill="auto"/>
            <w:noWrap/>
            <w:vAlign w:val="bottom"/>
            <w:hideMark/>
          </w:tcPr>
          <w:p w14:paraId="462B12F9" w14:textId="77777777" w:rsidR="00561167" w:rsidRPr="007B06B7" w:rsidRDefault="00561167" w:rsidP="00561167">
            <w:pPr>
              <w:jc w:val="right"/>
              <w:rPr>
                <w:rFonts w:ascii="Calibri" w:eastAsia="Times New Roman" w:hAnsi="Calibri" w:cs="Times New Roman"/>
                <w:color w:val="000000"/>
                <w:sz w:val="22"/>
                <w:szCs w:val="22"/>
              </w:rPr>
            </w:pPr>
            <w:r w:rsidRPr="007B06B7">
              <w:rPr>
                <w:rFonts w:ascii="Calibri" w:eastAsia="Times New Roman" w:hAnsi="Calibri" w:cs="Times New Roman"/>
                <w:color w:val="000000"/>
                <w:sz w:val="22"/>
                <w:szCs w:val="22"/>
              </w:rPr>
              <w:t>162</w:t>
            </w:r>
          </w:p>
        </w:tc>
        <w:tc>
          <w:tcPr>
            <w:tcW w:w="1320" w:type="dxa"/>
            <w:tcBorders>
              <w:top w:val="nil"/>
              <w:left w:val="nil"/>
              <w:bottom w:val="single" w:sz="4" w:space="0" w:color="auto"/>
              <w:right w:val="single" w:sz="4" w:space="0" w:color="auto"/>
            </w:tcBorders>
            <w:shd w:val="clear" w:color="auto" w:fill="auto"/>
            <w:noWrap/>
            <w:vAlign w:val="bottom"/>
            <w:hideMark/>
          </w:tcPr>
          <w:p w14:paraId="7D83A1C9" w14:textId="77777777" w:rsidR="00561167" w:rsidRPr="007B06B7" w:rsidRDefault="00561167" w:rsidP="00561167">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185</w:t>
            </w:r>
          </w:p>
        </w:tc>
      </w:tr>
    </w:tbl>
    <w:p w14:paraId="391D0DA1" w14:textId="77777777" w:rsidR="00561167" w:rsidRDefault="00561167" w:rsidP="00561167"/>
    <w:p w14:paraId="2AA09EE0" w14:textId="77777777" w:rsidR="00561167" w:rsidRDefault="00561167" w:rsidP="00561167"/>
    <w:p w14:paraId="6EFBB27E" w14:textId="77777777" w:rsidR="00561167" w:rsidRDefault="00561167" w:rsidP="00561167"/>
    <w:p w14:paraId="48FB71AD" w14:textId="77777777" w:rsidR="00561167" w:rsidRDefault="00561167" w:rsidP="00561167">
      <w:r w:rsidRPr="007E0E92">
        <w:rPr>
          <w:b/>
        </w:rPr>
        <w:t>Change in Total Pension Liability/ (Asset)</w:t>
      </w:r>
      <w:r w:rsidRPr="0080710F">
        <w:t xml:space="preserve"> </w:t>
      </w:r>
      <w:r>
        <w:br/>
      </w:r>
      <w:r w:rsidRPr="0080710F">
        <w:t xml:space="preserve">The following table presents the change in total pension liability/(asset) of Higher Education Supplemental Retirement Plans at June 30, 2017, the latest measurement date for all plans (expressed in </w:t>
      </w:r>
      <w:commentRangeStart w:id="40"/>
      <w:r w:rsidRPr="0080710F">
        <w:t>thousands</w:t>
      </w:r>
      <w:commentRangeEnd w:id="40"/>
      <w:r>
        <w:rPr>
          <w:rStyle w:val="CommentReference"/>
        </w:rPr>
        <w:commentReference w:id="40"/>
      </w:r>
      <w:r w:rsidRPr="0080710F">
        <w:t>):</w:t>
      </w:r>
    </w:p>
    <w:p w14:paraId="7144D4E2" w14:textId="77777777" w:rsidR="00561167" w:rsidRDefault="00561167" w:rsidP="00561167"/>
    <w:tbl>
      <w:tblPr>
        <w:tblW w:w="6565" w:type="dxa"/>
        <w:jc w:val="center"/>
        <w:tblLook w:val="04A0" w:firstRow="1" w:lastRow="0" w:firstColumn="1" w:lastColumn="0" w:noHBand="0" w:noVBand="1"/>
      </w:tblPr>
      <w:tblGrid>
        <w:gridCol w:w="5088"/>
        <w:gridCol w:w="1477"/>
      </w:tblGrid>
      <w:tr w:rsidR="00561167" w:rsidRPr="00426505" w14:paraId="59DE5076" w14:textId="77777777" w:rsidTr="00B00ED2">
        <w:trPr>
          <w:trHeight w:val="300"/>
          <w:jc w:val="center"/>
        </w:trPr>
        <w:tc>
          <w:tcPr>
            <w:tcW w:w="6565"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8A7D689"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Change in Total Pension Liability/(Asset)</w:t>
            </w:r>
          </w:p>
        </w:tc>
      </w:tr>
      <w:tr w:rsidR="00561167" w:rsidRPr="00426505" w14:paraId="526C67BE" w14:textId="77777777" w:rsidTr="00B00ED2">
        <w:trPr>
          <w:trHeight w:val="300"/>
          <w:jc w:val="center"/>
        </w:trPr>
        <w:tc>
          <w:tcPr>
            <w:tcW w:w="5088" w:type="dxa"/>
            <w:tcBorders>
              <w:top w:val="nil"/>
              <w:left w:val="single" w:sz="4" w:space="0" w:color="auto"/>
              <w:bottom w:val="nil"/>
              <w:right w:val="nil"/>
            </w:tcBorders>
            <w:shd w:val="clear" w:color="auto" w:fill="auto"/>
            <w:noWrap/>
            <w:vAlign w:val="bottom"/>
            <w:hideMark/>
          </w:tcPr>
          <w:p w14:paraId="40C1A119"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Total Pension Liability</w:t>
            </w:r>
          </w:p>
        </w:tc>
        <w:tc>
          <w:tcPr>
            <w:tcW w:w="1477" w:type="dxa"/>
            <w:tcBorders>
              <w:top w:val="nil"/>
              <w:left w:val="nil"/>
              <w:bottom w:val="nil"/>
              <w:right w:val="single" w:sz="4" w:space="0" w:color="auto"/>
            </w:tcBorders>
            <w:shd w:val="clear" w:color="auto" w:fill="auto"/>
            <w:noWrap/>
            <w:vAlign w:val="bottom"/>
            <w:hideMark/>
          </w:tcPr>
          <w:p w14:paraId="5F4E1AF1"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Amount</w:t>
            </w:r>
          </w:p>
        </w:tc>
      </w:tr>
      <w:tr w:rsidR="00561167" w:rsidRPr="00426505" w14:paraId="697E8617" w14:textId="77777777" w:rsidTr="00B00ED2">
        <w:trPr>
          <w:trHeight w:val="300"/>
          <w:jc w:val="center"/>
        </w:trPr>
        <w:tc>
          <w:tcPr>
            <w:tcW w:w="5088" w:type="dxa"/>
            <w:tcBorders>
              <w:top w:val="nil"/>
              <w:left w:val="single" w:sz="4" w:space="0" w:color="auto"/>
              <w:bottom w:val="nil"/>
              <w:right w:val="nil"/>
            </w:tcBorders>
            <w:shd w:val="clear" w:color="auto" w:fill="auto"/>
            <w:noWrap/>
            <w:vAlign w:val="bottom"/>
            <w:hideMark/>
          </w:tcPr>
          <w:p w14:paraId="23D4B5D9"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Service Cost</w:t>
            </w:r>
          </w:p>
        </w:tc>
        <w:tc>
          <w:tcPr>
            <w:tcW w:w="1477" w:type="dxa"/>
            <w:tcBorders>
              <w:top w:val="nil"/>
              <w:left w:val="nil"/>
              <w:bottom w:val="nil"/>
              <w:right w:val="single" w:sz="4" w:space="0" w:color="auto"/>
            </w:tcBorders>
            <w:shd w:val="clear" w:color="auto" w:fill="auto"/>
            <w:noWrap/>
            <w:vAlign w:val="bottom"/>
            <w:hideMark/>
          </w:tcPr>
          <w:p w14:paraId="325106CC"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 xml:space="preserve"> $        151 </w:t>
            </w:r>
          </w:p>
        </w:tc>
      </w:tr>
      <w:tr w:rsidR="00561167" w:rsidRPr="00426505" w14:paraId="2B360F9D" w14:textId="77777777" w:rsidTr="00B00ED2">
        <w:trPr>
          <w:trHeight w:val="300"/>
          <w:jc w:val="center"/>
        </w:trPr>
        <w:tc>
          <w:tcPr>
            <w:tcW w:w="5088" w:type="dxa"/>
            <w:tcBorders>
              <w:top w:val="nil"/>
              <w:left w:val="single" w:sz="4" w:space="0" w:color="auto"/>
              <w:bottom w:val="nil"/>
              <w:right w:val="nil"/>
            </w:tcBorders>
            <w:shd w:val="clear" w:color="auto" w:fill="auto"/>
            <w:noWrap/>
            <w:vAlign w:val="bottom"/>
            <w:hideMark/>
          </w:tcPr>
          <w:p w14:paraId="35EB1339"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Interest</w:t>
            </w:r>
          </w:p>
        </w:tc>
        <w:tc>
          <w:tcPr>
            <w:tcW w:w="1477" w:type="dxa"/>
            <w:tcBorders>
              <w:top w:val="nil"/>
              <w:left w:val="nil"/>
              <w:bottom w:val="nil"/>
              <w:right w:val="single" w:sz="4" w:space="0" w:color="auto"/>
            </w:tcBorders>
            <w:shd w:val="clear" w:color="auto" w:fill="auto"/>
            <w:noWrap/>
            <w:vAlign w:val="bottom"/>
            <w:hideMark/>
          </w:tcPr>
          <w:p w14:paraId="164D36A5"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 xml:space="preserve">              98 </w:t>
            </w:r>
          </w:p>
        </w:tc>
      </w:tr>
      <w:tr w:rsidR="00561167" w:rsidRPr="00426505" w14:paraId="0D09980C" w14:textId="77777777" w:rsidTr="00B00ED2">
        <w:trPr>
          <w:trHeight w:val="300"/>
          <w:jc w:val="center"/>
        </w:trPr>
        <w:tc>
          <w:tcPr>
            <w:tcW w:w="5088" w:type="dxa"/>
            <w:tcBorders>
              <w:top w:val="nil"/>
              <w:left w:val="single" w:sz="4" w:space="0" w:color="auto"/>
              <w:bottom w:val="nil"/>
              <w:right w:val="nil"/>
            </w:tcBorders>
            <w:shd w:val="clear" w:color="auto" w:fill="auto"/>
            <w:noWrap/>
            <w:vAlign w:val="bottom"/>
            <w:hideMark/>
          </w:tcPr>
          <w:p w14:paraId="5401D24D"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Changes of benefit terms</w:t>
            </w:r>
          </w:p>
        </w:tc>
        <w:tc>
          <w:tcPr>
            <w:tcW w:w="1477" w:type="dxa"/>
            <w:tcBorders>
              <w:top w:val="nil"/>
              <w:left w:val="nil"/>
              <w:bottom w:val="nil"/>
              <w:right w:val="single" w:sz="4" w:space="0" w:color="auto"/>
            </w:tcBorders>
            <w:shd w:val="clear" w:color="auto" w:fill="auto"/>
            <w:noWrap/>
            <w:vAlign w:val="bottom"/>
            <w:hideMark/>
          </w:tcPr>
          <w:p w14:paraId="64EDACC3"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 xml:space="preserve">                 - </w:t>
            </w:r>
          </w:p>
        </w:tc>
      </w:tr>
      <w:tr w:rsidR="00561167" w:rsidRPr="00426505" w14:paraId="6C821E58" w14:textId="77777777" w:rsidTr="00B00ED2">
        <w:trPr>
          <w:trHeight w:val="300"/>
          <w:jc w:val="center"/>
        </w:trPr>
        <w:tc>
          <w:tcPr>
            <w:tcW w:w="5088" w:type="dxa"/>
            <w:tcBorders>
              <w:top w:val="nil"/>
              <w:left w:val="single" w:sz="4" w:space="0" w:color="auto"/>
              <w:bottom w:val="nil"/>
              <w:right w:val="nil"/>
            </w:tcBorders>
            <w:shd w:val="clear" w:color="auto" w:fill="auto"/>
            <w:noWrap/>
            <w:vAlign w:val="bottom"/>
            <w:hideMark/>
          </w:tcPr>
          <w:p w14:paraId="441ACAB8"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Differences between expected and actual experience</w:t>
            </w:r>
          </w:p>
        </w:tc>
        <w:tc>
          <w:tcPr>
            <w:tcW w:w="1477" w:type="dxa"/>
            <w:tcBorders>
              <w:top w:val="nil"/>
              <w:left w:val="nil"/>
              <w:bottom w:val="nil"/>
              <w:right w:val="single" w:sz="4" w:space="0" w:color="auto"/>
            </w:tcBorders>
            <w:shd w:val="clear" w:color="auto" w:fill="auto"/>
            <w:noWrap/>
            <w:vAlign w:val="bottom"/>
            <w:hideMark/>
          </w:tcPr>
          <w:p w14:paraId="52DFBDD3"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 xml:space="preserve">         (707)</w:t>
            </w:r>
          </w:p>
        </w:tc>
      </w:tr>
      <w:tr w:rsidR="00561167" w:rsidRPr="00426505" w14:paraId="17372A8C" w14:textId="77777777" w:rsidTr="00B00ED2">
        <w:trPr>
          <w:trHeight w:val="300"/>
          <w:jc w:val="center"/>
        </w:trPr>
        <w:tc>
          <w:tcPr>
            <w:tcW w:w="5088" w:type="dxa"/>
            <w:tcBorders>
              <w:top w:val="nil"/>
              <w:left w:val="single" w:sz="4" w:space="0" w:color="auto"/>
              <w:bottom w:val="nil"/>
              <w:right w:val="nil"/>
            </w:tcBorders>
            <w:shd w:val="clear" w:color="auto" w:fill="auto"/>
            <w:noWrap/>
            <w:vAlign w:val="bottom"/>
            <w:hideMark/>
          </w:tcPr>
          <w:p w14:paraId="56D2F5E0"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Changes of assumptions</w:t>
            </w:r>
          </w:p>
        </w:tc>
        <w:tc>
          <w:tcPr>
            <w:tcW w:w="1477" w:type="dxa"/>
            <w:tcBorders>
              <w:top w:val="nil"/>
              <w:left w:val="nil"/>
              <w:bottom w:val="nil"/>
              <w:right w:val="single" w:sz="4" w:space="0" w:color="auto"/>
            </w:tcBorders>
            <w:shd w:val="clear" w:color="auto" w:fill="auto"/>
            <w:noWrap/>
            <w:vAlign w:val="bottom"/>
            <w:hideMark/>
          </w:tcPr>
          <w:p w14:paraId="762F7F65"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 xml:space="preserve">         (167)</w:t>
            </w:r>
          </w:p>
        </w:tc>
      </w:tr>
      <w:tr w:rsidR="00561167" w:rsidRPr="00426505" w14:paraId="7959FAD7" w14:textId="77777777" w:rsidTr="00B00ED2">
        <w:trPr>
          <w:trHeight w:val="300"/>
          <w:jc w:val="center"/>
        </w:trPr>
        <w:tc>
          <w:tcPr>
            <w:tcW w:w="5088" w:type="dxa"/>
            <w:tcBorders>
              <w:top w:val="nil"/>
              <w:left w:val="single" w:sz="4" w:space="0" w:color="auto"/>
              <w:bottom w:val="nil"/>
              <w:right w:val="nil"/>
            </w:tcBorders>
            <w:shd w:val="clear" w:color="auto" w:fill="auto"/>
            <w:noWrap/>
            <w:vAlign w:val="bottom"/>
            <w:hideMark/>
          </w:tcPr>
          <w:p w14:paraId="3A680338"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Benefit Payments</w:t>
            </w:r>
          </w:p>
        </w:tc>
        <w:tc>
          <w:tcPr>
            <w:tcW w:w="1477" w:type="dxa"/>
            <w:tcBorders>
              <w:top w:val="nil"/>
              <w:left w:val="nil"/>
              <w:bottom w:val="nil"/>
              <w:right w:val="single" w:sz="4" w:space="0" w:color="auto"/>
            </w:tcBorders>
            <w:shd w:val="clear" w:color="auto" w:fill="auto"/>
            <w:noWrap/>
            <w:vAlign w:val="bottom"/>
            <w:hideMark/>
          </w:tcPr>
          <w:p w14:paraId="43504453"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 xml:space="preserve">           (25)</w:t>
            </w:r>
          </w:p>
        </w:tc>
      </w:tr>
      <w:tr w:rsidR="00561167" w:rsidRPr="00426505" w14:paraId="3932790C" w14:textId="77777777" w:rsidTr="00B00ED2">
        <w:trPr>
          <w:trHeight w:val="300"/>
          <w:jc w:val="center"/>
        </w:trPr>
        <w:tc>
          <w:tcPr>
            <w:tcW w:w="5088" w:type="dxa"/>
            <w:tcBorders>
              <w:top w:val="nil"/>
              <w:left w:val="single" w:sz="4" w:space="0" w:color="auto"/>
              <w:bottom w:val="nil"/>
              <w:right w:val="nil"/>
            </w:tcBorders>
            <w:shd w:val="clear" w:color="auto" w:fill="auto"/>
            <w:noWrap/>
            <w:vAlign w:val="bottom"/>
            <w:hideMark/>
          </w:tcPr>
          <w:p w14:paraId="0BF91061"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Other</w:t>
            </w:r>
          </w:p>
        </w:tc>
        <w:tc>
          <w:tcPr>
            <w:tcW w:w="1477" w:type="dxa"/>
            <w:tcBorders>
              <w:top w:val="nil"/>
              <w:left w:val="nil"/>
              <w:bottom w:val="single" w:sz="4" w:space="0" w:color="auto"/>
              <w:right w:val="single" w:sz="4" w:space="0" w:color="auto"/>
            </w:tcBorders>
            <w:shd w:val="clear" w:color="auto" w:fill="auto"/>
            <w:noWrap/>
            <w:vAlign w:val="bottom"/>
            <w:hideMark/>
          </w:tcPr>
          <w:p w14:paraId="6CF61FE5"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 xml:space="preserve">                 - </w:t>
            </w:r>
          </w:p>
        </w:tc>
      </w:tr>
      <w:tr w:rsidR="00561167" w:rsidRPr="00426505" w14:paraId="2C168359" w14:textId="77777777" w:rsidTr="00B00ED2">
        <w:trPr>
          <w:trHeight w:val="300"/>
          <w:jc w:val="center"/>
        </w:trPr>
        <w:tc>
          <w:tcPr>
            <w:tcW w:w="5088" w:type="dxa"/>
            <w:tcBorders>
              <w:top w:val="nil"/>
              <w:left w:val="single" w:sz="4" w:space="0" w:color="auto"/>
              <w:bottom w:val="nil"/>
              <w:right w:val="nil"/>
            </w:tcBorders>
            <w:shd w:val="clear" w:color="auto" w:fill="auto"/>
            <w:noWrap/>
            <w:vAlign w:val="bottom"/>
            <w:hideMark/>
          </w:tcPr>
          <w:p w14:paraId="605A87B7"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Net Change in Total Pension Liability</w:t>
            </w:r>
          </w:p>
        </w:tc>
        <w:tc>
          <w:tcPr>
            <w:tcW w:w="1477" w:type="dxa"/>
            <w:tcBorders>
              <w:top w:val="nil"/>
              <w:left w:val="nil"/>
              <w:bottom w:val="single" w:sz="4" w:space="0" w:color="auto"/>
              <w:right w:val="single" w:sz="4" w:space="0" w:color="auto"/>
            </w:tcBorders>
            <w:shd w:val="clear" w:color="auto" w:fill="auto"/>
            <w:noWrap/>
            <w:vAlign w:val="bottom"/>
            <w:hideMark/>
          </w:tcPr>
          <w:p w14:paraId="0C1566D4"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 xml:space="preserve">         (650)</w:t>
            </w:r>
          </w:p>
        </w:tc>
      </w:tr>
      <w:tr w:rsidR="00561167" w:rsidRPr="00426505" w14:paraId="030523A0" w14:textId="77777777" w:rsidTr="00B00ED2">
        <w:trPr>
          <w:trHeight w:val="300"/>
          <w:jc w:val="center"/>
        </w:trPr>
        <w:tc>
          <w:tcPr>
            <w:tcW w:w="5088" w:type="dxa"/>
            <w:tcBorders>
              <w:top w:val="nil"/>
              <w:left w:val="single" w:sz="4" w:space="0" w:color="auto"/>
              <w:bottom w:val="nil"/>
              <w:right w:val="nil"/>
            </w:tcBorders>
            <w:shd w:val="clear" w:color="auto" w:fill="auto"/>
            <w:noWrap/>
            <w:vAlign w:val="bottom"/>
            <w:hideMark/>
          </w:tcPr>
          <w:p w14:paraId="76B9A6E0"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Total Pension Liability - Beginning</w:t>
            </w:r>
          </w:p>
        </w:tc>
        <w:tc>
          <w:tcPr>
            <w:tcW w:w="1477" w:type="dxa"/>
            <w:tcBorders>
              <w:top w:val="nil"/>
              <w:left w:val="nil"/>
              <w:bottom w:val="single" w:sz="4" w:space="0" w:color="auto"/>
              <w:right w:val="single" w:sz="4" w:space="0" w:color="auto"/>
            </w:tcBorders>
            <w:shd w:val="clear" w:color="auto" w:fill="auto"/>
            <w:noWrap/>
            <w:vAlign w:val="bottom"/>
            <w:hideMark/>
          </w:tcPr>
          <w:p w14:paraId="4B43CC65"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 xml:space="preserve">        3,302 </w:t>
            </w:r>
          </w:p>
        </w:tc>
      </w:tr>
      <w:tr w:rsidR="00561167" w:rsidRPr="00426505" w14:paraId="60A76B44" w14:textId="77777777" w:rsidTr="00B00ED2">
        <w:trPr>
          <w:trHeight w:val="300"/>
          <w:jc w:val="center"/>
        </w:trPr>
        <w:tc>
          <w:tcPr>
            <w:tcW w:w="5088" w:type="dxa"/>
            <w:tcBorders>
              <w:top w:val="nil"/>
              <w:left w:val="single" w:sz="4" w:space="0" w:color="auto"/>
              <w:bottom w:val="single" w:sz="4" w:space="0" w:color="auto"/>
              <w:right w:val="nil"/>
            </w:tcBorders>
            <w:shd w:val="clear" w:color="auto" w:fill="auto"/>
            <w:noWrap/>
            <w:vAlign w:val="bottom"/>
            <w:hideMark/>
          </w:tcPr>
          <w:p w14:paraId="773457EF"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Total Pension Liability - Ending (a)</w:t>
            </w:r>
          </w:p>
        </w:tc>
        <w:tc>
          <w:tcPr>
            <w:tcW w:w="1477" w:type="dxa"/>
            <w:tcBorders>
              <w:top w:val="nil"/>
              <w:left w:val="nil"/>
              <w:bottom w:val="single" w:sz="4" w:space="0" w:color="auto"/>
              <w:right w:val="single" w:sz="4" w:space="0" w:color="auto"/>
            </w:tcBorders>
            <w:shd w:val="clear" w:color="auto" w:fill="auto"/>
            <w:noWrap/>
            <w:vAlign w:val="bottom"/>
            <w:hideMark/>
          </w:tcPr>
          <w:p w14:paraId="2E1E6F7A" w14:textId="77777777" w:rsidR="00561167" w:rsidRPr="00426505" w:rsidRDefault="00561167" w:rsidP="00561167">
            <w:pPr>
              <w:rPr>
                <w:rFonts w:ascii="Calibri" w:eastAsia="Times New Roman" w:hAnsi="Calibri" w:cs="Times New Roman"/>
                <w:color w:val="000000"/>
                <w:sz w:val="22"/>
                <w:szCs w:val="22"/>
              </w:rPr>
            </w:pPr>
            <w:r w:rsidRPr="00426505">
              <w:rPr>
                <w:rFonts w:ascii="Calibri" w:eastAsia="Times New Roman" w:hAnsi="Calibri" w:cs="Times New Roman"/>
                <w:color w:val="000000"/>
                <w:sz w:val="22"/>
                <w:szCs w:val="22"/>
              </w:rPr>
              <w:t xml:space="preserve">        2,653 </w:t>
            </w:r>
          </w:p>
        </w:tc>
      </w:tr>
    </w:tbl>
    <w:p w14:paraId="08910851" w14:textId="77777777" w:rsidR="00561167" w:rsidRDefault="00561167" w:rsidP="00561167">
      <w:pPr>
        <w:rPr>
          <w:i/>
          <w:color w:val="FF0000"/>
          <w:sz w:val="20"/>
          <w:szCs w:val="20"/>
        </w:rPr>
      </w:pPr>
      <w:r w:rsidRPr="007E0E92">
        <w:rPr>
          <w:b/>
        </w:rPr>
        <w:t>Sensitivity of the Total Pension Liability/ (Asset) to Changes in the Discount Rate</w:t>
      </w:r>
      <w:r w:rsidRPr="007E0E92">
        <w:rPr>
          <w:b/>
        </w:rPr>
        <w:br/>
      </w:r>
      <w:r w:rsidRPr="0080710F">
        <w:t>The following table presents the total pension liability/(asset), calculated using the discount rate of 3.58 percent, as well as what the employers’ total pension liability/(asset) would be if it were calculated using a discount rate that is 1 percentage point lower (2.58 percent) or 1 percentage point higher (4.58 percent) than the current rate (expressed in thousand</w:t>
      </w:r>
      <w:r w:rsidRPr="00A8593A">
        <w:t>s):</w:t>
      </w:r>
    </w:p>
    <w:p w14:paraId="3EF8B4DD" w14:textId="77777777" w:rsidR="00561167" w:rsidRDefault="00561167" w:rsidP="00561167">
      <w:pPr>
        <w:rPr>
          <w:i/>
          <w:color w:val="FF0000"/>
          <w:sz w:val="20"/>
          <w:szCs w:val="20"/>
        </w:rPr>
      </w:pPr>
    </w:p>
    <w:tbl>
      <w:tblPr>
        <w:tblW w:w="8820" w:type="dxa"/>
        <w:jc w:val="center"/>
        <w:tblLook w:val="04A0" w:firstRow="1" w:lastRow="0" w:firstColumn="1" w:lastColumn="0" w:noHBand="0" w:noVBand="1"/>
      </w:tblPr>
      <w:tblGrid>
        <w:gridCol w:w="3280"/>
        <w:gridCol w:w="1490"/>
        <w:gridCol w:w="2430"/>
        <w:gridCol w:w="1620"/>
      </w:tblGrid>
      <w:tr w:rsidR="00561167" w:rsidRPr="00A8593A" w14:paraId="58514F65" w14:textId="77777777" w:rsidTr="00B00ED2">
        <w:trPr>
          <w:trHeight w:val="300"/>
          <w:jc w:val="center"/>
        </w:trPr>
        <w:tc>
          <w:tcPr>
            <w:tcW w:w="3280" w:type="dxa"/>
            <w:tcBorders>
              <w:top w:val="nil"/>
              <w:left w:val="nil"/>
              <w:bottom w:val="nil"/>
              <w:right w:val="nil"/>
            </w:tcBorders>
            <w:shd w:val="clear" w:color="auto" w:fill="auto"/>
            <w:noWrap/>
            <w:vAlign w:val="bottom"/>
            <w:hideMark/>
          </w:tcPr>
          <w:p w14:paraId="663F46EB" w14:textId="77777777" w:rsidR="00561167" w:rsidRPr="00A8593A" w:rsidRDefault="00561167" w:rsidP="00561167">
            <w:pPr>
              <w:rPr>
                <w:rFonts w:ascii="Calibri" w:eastAsia="Times New Roman" w:hAnsi="Calibri" w:cs="Times New Roman"/>
                <w:color w:val="000000"/>
                <w:sz w:val="22"/>
                <w:szCs w:val="22"/>
              </w:rPr>
            </w:pPr>
            <w:r w:rsidRPr="00A8593A">
              <w:rPr>
                <w:rFonts w:ascii="Calibri" w:eastAsia="Times New Roman" w:hAnsi="Calibri" w:cs="Times New Roman"/>
                <w:color w:val="000000"/>
                <w:sz w:val="22"/>
                <w:szCs w:val="22"/>
              </w:rPr>
              <w:t>Total Pension Liability/(Asset)</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08DE6" w14:textId="77777777" w:rsidR="00561167" w:rsidRPr="00A8593A" w:rsidRDefault="00561167" w:rsidP="00561167">
            <w:pPr>
              <w:rPr>
                <w:rFonts w:ascii="Calibri" w:eastAsia="Times New Roman" w:hAnsi="Calibri" w:cs="Times New Roman"/>
                <w:color w:val="000000"/>
                <w:sz w:val="22"/>
                <w:szCs w:val="22"/>
              </w:rPr>
            </w:pPr>
            <w:r w:rsidRPr="00A8593A">
              <w:rPr>
                <w:rFonts w:ascii="Calibri" w:eastAsia="Times New Roman" w:hAnsi="Calibri" w:cs="Times New Roman"/>
                <w:color w:val="000000"/>
                <w:sz w:val="22"/>
                <w:szCs w:val="22"/>
              </w:rPr>
              <w:t>1% Decrease</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58A072F1" w14:textId="77777777" w:rsidR="00561167" w:rsidRPr="00A8593A" w:rsidRDefault="00561167" w:rsidP="00561167">
            <w:pPr>
              <w:rPr>
                <w:rFonts w:ascii="Calibri" w:eastAsia="Times New Roman" w:hAnsi="Calibri" w:cs="Times New Roman"/>
                <w:color w:val="000000"/>
                <w:sz w:val="22"/>
                <w:szCs w:val="22"/>
              </w:rPr>
            </w:pPr>
            <w:r w:rsidRPr="00A8593A">
              <w:rPr>
                <w:rFonts w:ascii="Calibri" w:eastAsia="Times New Roman" w:hAnsi="Calibri" w:cs="Times New Roman"/>
                <w:color w:val="000000"/>
                <w:sz w:val="22"/>
                <w:szCs w:val="22"/>
              </w:rPr>
              <w:t>Current Discount Rate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E665ED8" w14:textId="77777777" w:rsidR="00561167" w:rsidRPr="00A8593A" w:rsidRDefault="00561167" w:rsidP="00561167">
            <w:pPr>
              <w:rPr>
                <w:rFonts w:ascii="Calibri" w:eastAsia="Times New Roman" w:hAnsi="Calibri" w:cs="Times New Roman"/>
                <w:color w:val="000000"/>
                <w:sz w:val="22"/>
                <w:szCs w:val="22"/>
              </w:rPr>
            </w:pPr>
            <w:r w:rsidRPr="00A8593A">
              <w:rPr>
                <w:rFonts w:ascii="Calibri" w:eastAsia="Times New Roman" w:hAnsi="Calibri" w:cs="Times New Roman"/>
                <w:color w:val="000000"/>
                <w:sz w:val="22"/>
                <w:szCs w:val="22"/>
              </w:rPr>
              <w:t>1% increase</w:t>
            </w:r>
          </w:p>
        </w:tc>
      </w:tr>
      <w:tr w:rsidR="00561167" w:rsidRPr="00A8593A" w14:paraId="432925A2" w14:textId="77777777" w:rsidTr="00B00ED2">
        <w:trPr>
          <w:trHeight w:val="600"/>
          <w:jc w:val="center"/>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5FC81B" w14:textId="77777777" w:rsidR="00561167" w:rsidRPr="00A8593A" w:rsidRDefault="00561167" w:rsidP="00561167">
            <w:pPr>
              <w:rPr>
                <w:rFonts w:ascii="Calibri" w:eastAsia="Times New Roman" w:hAnsi="Calibri" w:cs="Times New Roman"/>
                <w:color w:val="000000"/>
                <w:sz w:val="22"/>
                <w:szCs w:val="22"/>
              </w:rPr>
            </w:pPr>
            <w:r w:rsidRPr="00A8593A">
              <w:rPr>
                <w:rFonts w:ascii="Calibri" w:eastAsia="Times New Roman" w:hAnsi="Calibri" w:cs="Times New Roman"/>
                <w:color w:val="000000"/>
                <w:sz w:val="22"/>
                <w:szCs w:val="22"/>
              </w:rPr>
              <w:t>State Board for Community and Technical Colleges (SBCTC)</w:t>
            </w:r>
          </w:p>
        </w:tc>
        <w:tc>
          <w:tcPr>
            <w:tcW w:w="1490" w:type="dxa"/>
            <w:tcBorders>
              <w:top w:val="nil"/>
              <w:left w:val="nil"/>
              <w:bottom w:val="single" w:sz="4" w:space="0" w:color="auto"/>
              <w:right w:val="single" w:sz="4" w:space="0" w:color="auto"/>
            </w:tcBorders>
            <w:shd w:val="clear" w:color="auto" w:fill="auto"/>
            <w:noWrap/>
            <w:vAlign w:val="bottom"/>
            <w:hideMark/>
          </w:tcPr>
          <w:p w14:paraId="6F8C9BA8" w14:textId="77777777" w:rsidR="00561167" w:rsidRPr="00A8593A" w:rsidRDefault="00561167" w:rsidP="00561167">
            <w:pPr>
              <w:rPr>
                <w:rFonts w:ascii="Calibri" w:eastAsia="Times New Roman" w:hAnsi="Calibri" w:cs="Times New Roman"/>
                <w:color w:val="000000"/>
                <w:sz w:val="22"/>
                <w:szCs w:val="22"/>
              </w:rPr>
            </w:pPr>
            <w:r w:rsidRPr="00A8593A">
              <w:rPr>
                <w:rFonts w:ascii="Calibri" w:eastAsia="Times New Roman" w:hAnsi="Calibri" w:cs="Times New Roman"/>
                <w:color w:val="000000"/>
                <w:sz w:val="22"/>
                <w:szCs w:val="22"/>
              </w:rPr>
              <w:t xml:space="preserve"> $  109,199.00 </w:t>
            </w:r>
          </w:p>
        </w:tc>
        <w:tc>
          <w:tcPr>
            <w:tcW w:w="2430" w:type="dxa"/>
            <w:tcBorders>
              <w:top w:val="nil"/>
              <w:left w:val="nil"/>
              <w:bottom w:val="single" w:sz="4" w:space="0" w:color="auto"/>
              <w:right w:val="single" w:sz="4" w:space="0" w:color="auto"/>
            </w:tcBorders>
            <w:shd w:val="clear" w:color="auto" w:fill="auto"/>
            <w:noWrap/>
            <w:vAlign w:val="bottom"/>
            <w:hideMark/>
          </w:tcPr>
          <w:p w14:paraId="003C72CC" w14:textId="77777777" w:rsidR="00561167" w:rsidRPr="00A8593A" w:rsidRDefault="00561167" w:rsidP="00561167">
            <w:pPr>
              <w:rPr>
                <w:rFonts w:ascii="Calibri" w:eastAsia="Times New Roman" w:hAnsi="Calibri" w:cs="Times New Roman"/>
                <w:color w:val="000000"/>
                <w:sz w:val="22"/>
                <w:szCs w:val="22"/>
              </w:rPr>
            </w:pPr>
            <w:r w:rsidRPr="00A8593A">
              <w:rPr>
                <w:rFonts w:ascii="Calibri" w:eastAsia="Times New Roman" w:hAnsi="Calibri" w:cs="Times New Roman"/>
                <w:color w:val="000000"/>
                <w:sz w:val="22"/>
                <w:szCs w:val="22"/>
              </w:rPr>
              <w:t xml:space="preserve"> $                       95,050.00 </w:t>
            </w:r>
          </w:p>
        </w:tc>
        <w:tc>
          <w:tcPr>
            <w:tcW w:w="1620" w:type="dxa"/>
            <w:tcBorders>
              <w:top w:val="nil"/>
              <w:left w:val="nil"/>
              <w:bottom w:val="single" w:sz="4" w:space="0" w:color="auto"/>
              <w:right w:val="single" w:sz="4" w:space="0" w:color="auto"/>
            </w:tcBorders>
            <w:shd w:val="clear" w:color="auto" w:fill="auto"/>
            <w:noWrap/>
            <w:vAlign w:val="bottom"/>
            <w:hideMark/>
          </w:tcPr>
          <w:p w14:paraId="2A0CABD7" w14:textId="77777777" w:rsidR="00561167" w:rsidRPr="00A8593A" w:rsidRDefault="00561167" w:rsidP="00561167">
            <w:pPr>
              <w:rPr>
                <w:rFonts w:ascii="Calibri" w:eastAsia="Times New Roman" w:hAnsi="Calibri" w:cs="Times New Roman"/>
                <w:color w:val="000000"/>
                <w:sz w:val="22"/>
                <w:szCs w:val="22"/>
              </w:rPr>
            </w:pPr>
            <w:r w:rsidRPr="00A8593A">
              <w:rPr>
                <w:rFonts w:ascii="Calibri" w:eastAsia="Times New Roman" w:hAnsi="Calibri" w:cs="Times New Roman"/>
                <w:color w:val="000000"/>
                <w:sz w:val="22"/>
                <w:szCs w:val="22"/>
              </w:rPr>
              <w:t xml:space="preserve"> $      83,332.00 </w:t>
            </w:r>
          </w:p>
        </w:tc>
      </w:tr>
      <w:tr w:rsidR="00561167" w:rsidRPr="00A8593A" w14:paraId="453C0D05" w14:textId="77777777" w:rsidTr="00B00ED2">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1C958781" w14:textId="77777777" w:rsidR="00561167" w:rsidRPr="00A8593A" w:rsidRDefault="00561167" w:rsidP="00561167">
            <w:pPr>
              <w:rPr>
                <w:rFonts w:ascii="Calibri" w:eastAsia="Times New Roman" w:hAnsi="Calibri" w:cs="Times New Roman"/>
                <w:color w:val="000000"/>
                <w:sz w:val="22"/>
                <w:szCs w:val="22"/>
              </w:rPr>
            </w:pPr>
            <w:r w:rsidRPr="00A8593A">
              <w:rPr>
                <w:rFonts w:ascii="Calibri" w:eastAsia="Times New Roman" w:hAnsi="Calibri" w:cs="Times New Roman"/>
                <w:color w:val="000000"/>
                <w:sz w:val="22"/>
                <w:szCs w:val="22"/>
              </w:rPr>
              <w:t>Skagit Valley College</w:t>
            </w:r>
          </w:p>
        </w:tc>
        <w:tc>
          <w:tcPr>
            <w:tcW w:w="1490" w:type="dxa"/>
            <w:tcBorders>
              <w:top w:val="nil"/>
              <w:left w:val="nil"/>
              <w:bottom w:val="single" w:sz="4" w:space="0" w:color="auto"/>
              <w:right w:val="single" w:sz="4" w:space="0" w:color="auto"/>
            </w:tcBorders>
            <w:shd w:val="clear" w:color="auto" w:fill="auto"/>
            <w:noWrap/>
            <w:vAlign w:val="bottom"/>
            <w:hideMark/>
          </w:tcPr>
          <w:p w14:paraId="2F7C1690" w14:textId="77777777" w:rsidR="00561167" w:rsidRPr="00A8593A" w:rsidRDefault="00561167" w:rsidP="00561167">
            <w:pPr>
              <w:rPr>
                <w:rFonts w:ascii="Calibri" w:eastAsia="Times New Roman" w:hAnsi="Calibri" w:cs="Times New Roman"/>
                <w:color w:val="000000"/>
                <w:sz w:val="22"/>
                <w:szCs w:val="22"/>
              </w:rPr>
            </w:pPr>
            <w:r w:rsidRPr="00A8593A">
              <w:rPr>
                <w:rFonts w:ascii="Calibri" w:eastAsia="Times New Roman" w:hAnsi="Calibri" w:cs="Times New Roman"/>
                <w:color w:val="000000"/>
                <w:sz w:val="22"/>
                <w:szCs w:val="22"/>
              </w:rPr>
              <w:t xml:space="preserve"> $      3,047.47 </w:t>
            </w:r>
          </w:p>
        </w:tc>
        <w:tc>
          <w:tcPr>
            <w:tcW w:w="2430" w:type="dxa"/>
            <w:tcBorders>
              <w:top w:val="nil"/>
              <w:left w:val="nil"/>
              <w:bottom w:val="single" w:sz="4" w:space="0" w:color="auto"/>
              <w:right w:val="single" w:sz="4" w:space="0" w:color="auto"/>
            </w:tcBorders>
            <w:shd w:val="clear" w:color="auto" w:fill="auto"/>
            <w:noWrap/>
            <w:vAlign w:val="bottom"/>
            <w:hideMark/>
          </w:tcPr>
          <w:p w14:paraId="467A5CB7" w14:textId="77777777" w:rsidR="00561167" w:rsidRPr="00A8593A" w:rsidRDefault="00561167" w:rsidP="00561167">
            <w:pPr>
              <w:rPr>
                <w:rFonts w:ascii="Calibri" w:eastAsia="Times New Roman" w:hAnsi="Calibri" w:cs="Times New Roman"/>
                <w:color w:val="000000"/>
                <w:sz w:val="22"/>
                <w:szCs w:val="22"/>
              </w:rPr>
            </w:pPr>
            <w:r w:rsidRPr="00A8593A">
              <w:rPr>
                <w:rFonts w:ascii="Calibri" w:eastAsia="Times New Roman" w:hAnsi="Calibri" w:cs="Times New Roman"/>
                <w:color w:val="000000"/>
                <w:sz w:val="22"/>
                <w:szCs w:val="22"/>
              </w:rPr>
              <w:t xml:space="preserve"> $                         2,652.61 </w:t>
            </w:r>
          </w:p>
        </w:tc>
        <w:tc>
          <w:tcPr>
            <w:tcW w:w="1620" w:type="dxa"/>
            <w:tcBorders>
              <w:top w:val="nil"/>
              <w:left w:val="nil"/>
              <w:bottom w:val="single" w:sz="4" w:space="0" w:color="auto"/>
              <w:right w:val="single" w:sz="4" w:space="0" w:color="auto"/>
            </w:tcBorders>
            <w:shd w:val="clear" w:color="auto" w:fill="auto"/>
            <w:noWrap/>
            <w:vAlign w:val="bottom"/>
            <w:hideMark/>
          </w:tcPr>
          <w:p w14:paraId="5F43C07B" w14:textId="77777777" w:rsidR="00561167" w:rsidRPr="00A8593A" w:rsidRDefault="00561167" w:rsidP="00561167">
            <w:pPr>
              <w:rPr>
                <w:rFonts w:ascii="Calibri" w:eastAsia="Times New Roman" w:hAnsi="Calibri" w:cs="Times New Roman"/>
                <w:color w:val="000000"/>
                <w:sz w:val="22"/>
                <w:szCs w:val="22"/>
              </w:rPr>
            </w:pPr>
            <w:r w:rsidRPr="00A8593A">
              <w:rPr>
                <w:rFonts w:ascii="Calibri" w:eastAsia="Times New Roman" w:hAnsi="Calibri" w:cs="Times New Roman"/>
                <w:color w:val="000000"/>
                <w:sz w:val="22"/>
                <w:szCs w:val="22"/>
              </w:rPr>
              <w:t xml:space="preserve"> $        2,325.59 </w:t>
            </w:r>
          </w:p>
        </w:tc>
      </w:tr>
    </w:tbl>
    <w:p w14:paraId="2BCC4698" w14:textId="77777777" w:rsidR="00561167" w:rsidRDefault="00561167" w:rsidP="00561167"/>
    <w:p w14:paraId="56BCFD86" w14:textId="77777777" w:rsidR="00561167" w:rsidRDefault="00561167" w:rsidP="00561167"/>
    <w:p w14:paraId="2B56E263" w14:textId="77777777" w:rsidR="00561167" w:rsidRPr="007E0E92" w:rsidRDefault="00561167" w:rsidP="00561167">
      <w:pPr>
        <w:rPr>
          <w:b/>
        </w:rPr>
      </w:pPr>
      <w:r>
        <w:rPr>
          <w:b/>
        </w:rPr>
        <w:br/>
      </w:r>
      <w:r w:rsidRPr="007E0E92">
        <w:rPr>
          <w:b/>
        </w:rPr>
        <w:t xml:space="preserve">Deferred Outflows of Resources and Deferred Inflows of Resources Related to Pensions </w:t>
      </w:r>
    </w:p>
    <w:p w14:paraId="3F37A83D" w14:textId="77777777" w:rsidR="00561167" w:rsidRDefault="00561167" w:rsidP="00561167">
      <w:r>
        <w:t>At June 30, 2017, the State Board Supplemental Retirement Plans reported deferred outflows of resources and deferred inflows of resources related to pensions from the following sources (expressed in thousands):</w:t>
      </w:r>
    </w:p>
    <w:p w14:paraId="553DEF72" w14:textId="77777777" w:rsidR="00561167" w:rsidRDefault="00561167" w:rsidP="00561167"/>
    <w:tbl>
      <w:tblPr>
        <w:tblW w:w="6300" w:type="dxa"/>
        <w:jc w:val="center"/>
        <w:tblLook w:val="04A0" w:firstRow="1" w:lastRow="0" w:firstColumn="1" w:lastColumn="0" w:noHBand="0" w:noVBand="1"/>
      </w:tblPr>
      <w:tblGrid>
        <w:gridCol w:w="3142"/>
        <w:gridCol w:w="1448"/>
        <w:gridCol w:w="1710"/>
      </w:tblGrid>
      <w:tr w:rsidR="00561167" w:rsidRPr="00DD451D" w14:paraId="2143FAA2" w14:textId="77777777" w:rsidTr="00B00ED2">
        <w:trPr>
          <w:trHeight w:val="900"/>
          <w:jc w:val="center"/>
        </w:trPr>
        <w:tc>
          <w:tcPr>
            <w:tcW w:w="3142" w:type="dxa"/>
            <w:tcBorders>
              <w:top w:val="nil"/>
              <w:left w:val="nil"/>
              <w:bottom w:val="nil"/>
              <w:right w:val="nil"/>
            </w:tcBorders>
            <w:shd w:val="clear" w:color="auto" w:fill="auto"/>
            <w:vAlign w:val="bottom"/>
            <w:hideMark/>
          </w:tcPr>
          <w:p w14:paraId="4417C699" w14:textId="77777777" w:rsidR="00561167" w:rsidRPr="00DD451D" w:rsidRDefault="00561167" w:rsidP="00561167">
            <w:pPr>
              <w:rPr>
                <w:rFonts w:ascii="Calibri" w:eastAsia="Times New Roman" w:hAnsi="Calibri" w:cs="Times New Roman"/>
                <w:color w:val="000000"/>
                <w:sz w:val="22"/>
                <w:szCs w:val="22"/>
              </w:rPr>
            </w:pPr>
            <w:r w:rsidRPr="00DD451D">
              <w:rPr>
                <w:rFonts w:ascii="Calibri" w:eastAsia="Times New Roman" w:hAnsi="Calibri" w:cs="Times New Roman"/>
                <w:color w:val="000000"/>
                <w:sz w:val="22"/>
                <w:szCs w:val="22"/>
              </w:rPr>
              <w:t>Skagit Valley College</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2AC1C8" w14:textId="77777777" w:rsidR="00561167" w:rsidRPr="00DD451D" w:rsidRDefault="00561167" w:rsidP="00561167">
            <w:pPr>
              <w:rPr>
                <w:rFonts w:ascii="Calibri" w:eastAsia="Times New Roman" w:hAnsi="Calibri" w:cs="Times New Roman"/>
                <w:color w:val="000000"/>
                <w:sz w:val="22"/>
                <w:szCs w:val="22"/>
              </w:rPr>
            </w:pPr>
            <w:r w:rsidRPr="00DD451D">
              <w:rPr>
                <w:rFonts w:ascii="Calibri" w:eastAsia="Times New Roman" w:hAnsi="Calibri" w:cs="Times New Roman"/>
                <w:color w:val="000000"/>
                <w:sz w:val="22"/>
                <w:szCs w:val="22"/>
              </w:rPr>
              <w:t>Deferred Outflows of Resources</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06590C92" w14:textId="77777777" w:rsidR="00561167" w:rsidRPr="00DD451D" w:rsidRDefault="00561167" w:rsidP="00561167">
            <w:pPr>
              <w:rPr>
                <w:rFonts w:ascii="Calibri" w:eastAsia="Times New Roman" w:hAnsi="Calibri" w:cs="Times New Roman"/>
                <w:color w:val="000000"/>
                <w:sz w:val="22"/>
                <w:szCs w:val="22"/>
              </w:rPr>
            </w:pPr>
            <w:r w:rsidRPr="00DD451D">
              <w:rPr>
                <w:rFonts w:ascii="Calibri" w:eastAsia="Times New Roman" w:hAnsi="Calibri" w:cs="Times New Roman"/>
                <w:color w:val="000000"/>
                <w:sz w:val="22"/>
                <w:szCs w:val="22"/>
              </w:rPr>
              <w:t>Deferred Inflows of Resources</w:t>
            </w:r>
          </w:p>
        </w:tc>
      </w:tr>
      <w:tr w:rsidR="00561167" w:rsidRPr="00DD451D" w14:paraId="4FE25947" w14:textId="77777777" w:rsidTr="00B00ED2">
        <w:trPr>
          <w:trHeight w:val="600"/>
          <w:jc w:val="center"/>
        </w:trPr>
        <w:tc>
          <w:tcPr>
            <w:tcW w:w="3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F2D82A" w14:textId="77777777" w:rsidR="00561167" w:rsidRPr="00DD451D" w:rsidRDefault="00561167" w:rsidP="00561167">
            <w:pPr>
              <w:rPr>
                <w:rFonts w:ascii="Calibri" w:eastAsia="Times New Roman" w:hAnsi="Calibri" w:cs="Times New Roman"/>
                <w:color w:val="000000"/>
                <w:sz w:val="22"/>
                <w:szCs w:val="22"/>
              </w:rPr>
            </w:pPr>
            <w:r w:rsidRPr="00DD451D">
              <w:rPr>
                <w:rFonts w:ascii="Calibri" w:eastAsia="Times New Roman" w:hAnsi="Calibri" w:cs="Times New Roman"/>
                <w:color w:val="000000"/>
                <w:sz w:val="22"/>
                <w:szCs w:val="22"/>
              </w:rPr>
              <w:t>Difference between expected and actual experience</w:t>
            </w:r>
          </w:p>
        </w:tc>
        <w:tc>
          <w:tcPr>
            <w:tcW w:w="1448" w:type="dxa"/>
            <w:tcBorders>
              <w:top w:val="nil"/>
              <w:left w:val="nil"/>
              <w:bottom w:val="single" w:sz="4" w:space="0" w:color="auto"/>
              <w:right w:val="single" w:sz="4" w:space="0" w:color="auto"/>
            </w:tcBorders>
            <w:shd w:val="clear" w:color="auto" w:fill="auto"/>
            <w:noWrap/>
            <w:vAlign w:val="bottom"/>
            <w:hideMark/>
          </w:tcPr>
          <w:p w14:paraId="4A5BAFC1" w14:textId="77777777" w:rsidR="00561167" w:rsidRPr="00DD451D" w:rsidRDefault="00561167" w:rsidP="00561167">
            <w:pPr>
              <w:rPr>
                <w:rFonts w:ascii="Calibri" w:eastAsia="Times New Roman" w:hAnsi="Calibri" w:cs="Times New Roman"/>
                <w:color w:val="000000"/>
                <w:sz w:val="22"/>
                <w:szCs w:val="22"/>
              </w:rPr>
            </w:pPr>
            <w:r w:rsidRPr="00DD451D">
              <w:rPr>
                <w:rFonts w:ascii="Calibri" w:eastAsia="Times New Roman" w:hAnsi="Calibri" w:cs="Times New Roman"/>
                <w:color w:val="000000"/>
                <w:sz w:val="22"/>
                <w:szCs w:val="22"/>
              </w:rPr>
              <w:t xml:space="preserve"> $                 -   </w:t>
            </w:r>
          </w:p>
        </w:tc>
        <w:tc>
          <w:tcPr>
            <w:tcW w:w="1710" w:type="dxa"/>
            <w:tcBorders>
              <w:top w:val="nil"/>
              <w:left w:val="nil"/>
              <w:bottom w:val="single" w:sz="4" w:space="0" w:color="auto"/>
              <w:right w:val="single" w:sz="4" w:space="0" w:color="auto"/>
            </w:tcBorders>
            <w:shd w:val="clear" w:color="auto" w:fill="auto"/>
            <w:noWrap/>
            <w:vAlign w:val="bottom"/>
            <w:hideMark/>
          </w:tcPr>
          <w:p w14:paraId="3A72598D" w14:textId="77777777" w:rsidR="00561167" w:rsidRPr="00DD451D" w:rsidRDefault="00561167" w:rsidP="00561167">
            <w:pPr>
              <w:rPr>
                <w:rFonts w:ascii="Calibri" w:eastAsia="Times New Roman" w:hAnsi="Calibri" w:cs="Times New Roman"/>
                <w:color w:val="000000"/>
                <w:sz w:val="22"/>
                <w:szCs w:val="22"/>
              </w:rPr>
            </w:pPr>
            <w:r w:rsidRPr="00DD451D">
              <w:rPr>
                <w:rFonts w:ascii="Calibri" w:eastAsia="Times New Roman" w:hAnsi="Calibri" w:cs="Times New Roman"/>
                <w:color w:val="000000"/>
                <w:sz w:val="22"/>
                <w:szCs w:val="22"/>
              </w:rPr>
              <w:t xml:space="preserve"> $              614.05 </w:t>
            </w:r>
          </w:p>
        </w:tc>
      </w:tr>
      <w:tr w:rsidR="00561167" w:rsidRPr="00DD451D" w14:paraId="1F959626" w14:textId="77777777" w:rsidTr="00B00ED2">
        <w:trPr>
          <w:trHeight w:val="300"/>
          <w:jc w:val="center"/>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3987D794" w14:textId="77777777" w:rsidR="00561167" w:rsidRPr="00DD451D" w:rsidRDefault="00561167" w:rsidP="00561167">
            <w:pPr>
              <w:rPr>
                <w:rFonts w:ascii="Calibri" w:eastAsia="Times New Roman" w:hAnsi="Calibri" w:cs="Times New Roman"/>
                <w:color w:val="000000"/>
                <w:sz w:val="22"/>
                <w:szCs w:val="22"/>
              </w:rPr>
            </w:pPr>
            <w:r w:rsidRPr="00DD451D">
              <w:rPr>
                <w:rFonts w:ascii="Calibri" w:eastAsia="Times New Roman" w:hAnsi="Calibri" w:cs="Times New Roman"/>
                <w:color w:val="000000"/>
                <w:sz w:val="22"/>
                <w:szCs w:val="22"/>
              </w:rPr>
              <w:t>Changes of assumptions</w:t>
            </w:r>
          </w:p>
        </w:tc>
        <w:tc>
          <w:tcPr>
            <w:tcW w:w="1448" w:type="dxa"/>
            <w:tcBorders>
              <w:top w:val="nil"/>
              <w:left w:val="nil"/>
              <w:bottom w:val="single" w:sz="4" w:space="0" w:color="auto"/>
              <w:right w:val="single" w:sz="4" w:space="0" w:color="auto"/>
            </w:tcBorders>
            <w:shd w:val="clear" w:color="auto" w:fill="auto"/>
            <w:noWrap/>
            <w:vAlign w:val="bottom"/>
            <w:hideMark/>
          </w:tcPr>
          <w:p w14:paraId="2B6619FD" w14:textId="77777777" w:rsidR="00561167" w:rsidRPr="00DD451D" w:rsidRDefault="00561167" w:rsidP="00561167">
            <w:pPr>
              <w:rPr>
                <w:rFonts w:ascii="Calibri" w:eastAsia="Times New Roman" w:hAnsi="Calibri" w:cs="Times New Roman"/>
                <w:color w:val="000000"/>
                <w:sz w:val="22"/>
                <w:szCs w:val="22"/>
              </w:rPr>
            </w:pPr>
            <w:r w:rsidRPr="00DD451D">
              <w:rPr>
                <w:rFonts w:ascii="Calibri" w:eastAsia="Times New Roman" w:hAnsi="Calibri" w:cs="Times New Roman"/>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06FFD4DB" w14:textId="77777777" w:rsidR="00561167" w:rsidRPr="00DD451D" w:rsidRDefault="00561167" w:rsidP="00561167">
            <w:pPr>
              <w:rPr>
                <w:rFonts w:ascii="Calibri" w:eastAsia="Times New Roman" w:hAnsi="Calibri" w:cs="Times New Roman"/>
                <w:color w:val="000000"/>
                <w:sz w:val="22"/>
                <w:szCs w:val="22"/>
              </w:rPr>
            </w:pPr>
            <w:r w:rsidRPr="00DD451D">
              <w:rPr>
                <w:rFonts w:ascii="Calibri" w:eastAsia="Times New Roman" w:hAnsi="Calibri" w:cs="Times New Roman"/>
                <w:color w:val="000000"/>
                <w:sz w:val="22"/>
                <w:szCs w:val="22"/>
              </w:rPr>
              <w:t xml:space="preserve"> $              144.92 </w:t>
            </w:r>
          </w:p>
        </w:tc>
      </w:tr>
      <w:tr w:rsidR="00561167" w:rsidRPr="00DD451D" w14:paraId="191F079F" w14:textId="77777777" w:rsidTr="00B00ED2">
        <w:trPr>
          <w:trHeight w:val="600"/>
          <w:jc w:val="center"/>
        </w:trPr>
        <w:tc>
          <w:tcPr>
            <w:tcW w:w="3142" w:type="dxa"/>
            <w:tcBorders>
              <w:top w:val="nil"/>
              <w:left w:val="single" w:sz="4" w:space="0" w:color="auto"/>
              <w:bottom w:val="single" w:sz="4" w:space="0" w:color="auto"/>
              <w:right w:val="single" w:sz="4" w:space="0" w:color="auto"/>
            </w:tcBorders>
            <w:shd w:val="clear" w:color="auto" w:fill="auto"/>
            <w:vAlign w:val="bottom"/>
            <w:hideMark/>
          </w:tcPr>
          <w:p w14:paraId="48ADF94F" w14:textId="77777777" w:rsidR="00561167" w:rsidRPr="00DD451D" w:rsidRDefault="00561167" w:rsidP="00561167">
            <w:pPr>
              <w:rPr>
                <w:rFonts w:ascii="Calibri" w:eastAsia="Times New Roman" w:hAnsi="Calibri" w:cs="Times New Roman"/>
                <w:color w:val="000000"/>
                <w:sz w:val="22"/>
                <w:szCs w:val="22"/>
              </w:rPr>
            </w:pPr>
            <w:r w:rsidRPr="00DD451D">
              <w:rPr>
                <w:rFonts w:ascii="Calibri" w:eastAsia="Times New Roman" w:hAnsi="Calibri" w:cs="Times New Roman"/>
                <w:color w:val="000000"/>
                <w:sz w:val="22"/>
                <w:szCs w:val="22"/>
              </w:rPr>
              <w:t>Transactions subsequent to the measurement date</w:t>
            </w:r>
          </w:p>
        </w:tc>
        <w:tc>
          <w:tcPr>
            <w:tcW w:w="1448" w:type="dxa"/>
            <w:tcBorders>
              <w:top w:val="nil"/>
              <w:left w:val="nil"/>
              <w:bottom w:val="single" w:sz="4" w:space="0" w:color="auto"/>
              <w:right w:val="single" w:sz="4" w:space="0" w:color="auto"/>
            </w:tcBorders>
            <w:shd w:val="clear" w:color="auto" w:fill="auto"/>
            <w:noWrap/>
            <w:vAlign w:val="bottom"/>
            <w:hideMark/>
          </w:tcPr>
          <w:p w14:paraId="55422CCE" w14:textId="77777777" w:rsidR="00561167" w:rsidRPr="00DD451D" w:rsidRDefault="00561167" w:rsidP="00561167">
            <w:pPr>
              <w:rPr>
                <w:rFonts w:ascii="Calibri" w:eastAsia="Times New Roman" w:hAnsi="Calibri" w:cs="Times New Roman"/>
                <w:color w:val="000000"/>
                <w:sz w:val="22"/>
                <w:szCs w:val="22"/>
              </w:rPr>
            </w:pPr>
            <w:r w:rsidRPr="00DD451D">
              <w:rPr>
                <w:rFonts w:ascii="Calibri" w:eastAsia="Times New Roman" w:hAnsi="Calibri" w:cs="Times New Roman"/>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66BDC442" w14:textId="77777777" w:rsidR="00561167" w:rsidRPr="00DD451D" w:rsidRDefault="00561167" w:rsidP="00561167">
            <w:pPr>
              <w:rPr>
                <w:rFonts w:ascii="Calibri" w:eastAsia="Times New Roman" w:hAnsi="Calibri" w:cs="Times New Roman"/>
                <w:color w:val="000000"/>
                <w:sz w:val="22"/>
                <w:szCs w:val="22"/>
              </w:rPr>
            </w:pPr>
            <w:r w:rsidRPr="00DD451D">
              <w:rPr>
                <w:rFonts w:ascii="Calibri" w:eastAsia="Times New Roman" w:hAnsi="Calibri" w:cs="Times New Roman"/>
                <w:color w:val="000000"/>
                <w:sz w:val="22"/>
                <w:szCs w:val="22"/>
              </w:rPr>
              <w:t> </w:t>
            </w:r>
          </w:p>
        </w:tc>
      </w:tr>
      <w:tr w:rsidR="00561167" w:rsidRPr="00DD451D" w14:paraId="5957A1B4" w14:textId="77777777" w:rsidTr="00B00ED2">
        <w:trPr>
          <w:trHeight w:val="300"/>
          <w:jc w:val="center"/>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56742AF6" w14:textId="77777777" w:rsidR="00561167" w:rsidRPr="00DD451D" w:rsidRDefault="00561167" w:rsidP="00561167">
            <w:pPr>
              <w:rPr>
                <w:rFonts w:ascii="Calibri" w:eastAsia="Times New Roman" w:hAnsi="Calibri" w:cs="Times New Roman"/>
                <w:color w:val="000000"/>
                <w:sz w:val="22"/>
                <w:szCs w:val="22"/>
              </w:rPr>
            </w:pPr>
            <w:r w:rsidRPr="00DD451D">
              <w:rPr>
                <w:rFonts w:ascii="Calibri" w:eastAsia="Times New Roman" w:hAnsi="Calibri" w:cs="Times New Roman"/>
                <w:color w:val="000000"/>
                <w:sz w:val="22"/>
                <w:szCs w:val="22"/>
              </w:rPr>
              <w:t>Total</w:t>
            </w:r>
          </w:p>
        </w:tc>
        <w:tc>
          <w:tcPr>
            <w:tcW w:w="1448" w:type="dxa"/>
            <w:tcBorders>
              <w:top w:val="nil"/>
              <w:left w:val="nil"/>
              <w:bottom w:val="single" w:sz="4" w:space="0" w:color="auto"/>
              <w:right w:val="single" w:sz="4" w:space="0" w:color="auto"/>
            </w:tcBorders>
            <w:shd w:val="clear" w:color="auto" w:fill="auto"/>
            <w:noWrap/>
            <w:vAlign w:val="bottom"/>
            <w:hideMark/>
          </w:tcPr>
          <w:p w14:paraId="41A11528" w14:textId="77777777" w:rsidR="00561167" w:rsidRPr="00DD451D" w:rsidRDefault="00561167" w:rsidP="00561167">
            <w:pPr>
              <w:rPr>
                <w:rFonts w:ascii="Calibri" w:eastAsia="Times New Roman" w:hAnsi="Calibri" w:cs="Times New Roman"/>
                <w:color w:val="000000"/>
                <w:sz w:val="22"/>
                <w:szCs w:val="22"/>
              </w:rPr>
            </w:pPr>
            <w:r w:rsidRPr="00DD451D">
              <w:rPr>
                <w:rFonts w:ascii="Calibri" w:eastAsia="Times New Roman" w:hAnsi="Calibri" w:cs="Times New Roman"/>
                <w:color w:val="000000"/>
                <w:sz w:val="22"/>
                <w:szCs w:val="22"/>
              </w:rPr>
              <w:t xml:space="preserve"> $                 -   </w:t>
            </w:r>
          </w:p>
        </w:tc>
        <w:tc>
          <w:tcPr>
            <w:tcW w:w="1710" w:type="dxa"/>
            <w:tcBorders>
              <w:top w:val="nil"/>
              <w:left w:val="nil"/>
              <w:bottom w:val="single" w:sz="4" w:space="0" w:color="auto"/>
              <w:right w:val="single" w:sz="4" w:space="0" w:color="auto"/>
            </w:tcBorders>
            <w:shd w:val="clear" w:color="auto" w:fill="auto"/>
            <w:noWrap/>
            <w:vAlign w:val="bottom"/>
            <w:hideMark/>
          </w:tcPr>
          <w:p w14:paraId="5BB567B0" w14:textId="77777777" w:rsidR="00561167" w:rsidRPr="00DD451D" w:rsidRDefault="00561167" w:rsidP="00561167">
            <w:pPr>
              <w:rPr>
                <w:rFonts w:ascii="Calibri" w:eastAsia="Times New Roman" w:hAnsi="Calibri" w:cs="Times New Roman"/>
                <w:color w:val="000000"/>
                <w:sz w:val="22"/>
                <w:szCs w:val="22"/>
              </w:rPr>
            </w:pPr>
            <w:r w:rsidRPr="00DD451D">
              <w:rPr>
                <w:rFonts w:ascii="Calibri" w:eastAsia="Times New Roman" w:hAnsi="Calibri" w:cs="Times New Roman"/>
                <w:color w:val="000000"/>
                <w:sz w:val="22"/>
                <w:szCs w:val="22"/>
              </w:rPr>
              <w:t xml:space="preserve"> $              758.97 </w:t>
            </w:r>
          </w:p>
        </w:tc>
      </w:tr>
    </w:tbl>
    <w:p w14:paraId="1725043B" w14:textId="77777777" w:rsidR="00946F01" w:rsidRDefault="00946F01" w:rsidP="00561167"/>
    <w:p w14:paraId="77AB7091" w14:textId="77777777" w:rsidR="00946F01" w:rsidRDefault="00946F01" w:rsidP="00561167"/>
    <w:p w14:paraId="574D2B9D" w14:textId="77777777" w:rsidR="00946F01" w:rsidRDefault="00946F01" w:rsidP="00561167"/>
    <w:p w14:paraId="2A6B132D" w14:textId="29204D96" w:rsidR="00561167" w:rsidRPr="00C96842" w:rsidRDefault="00561167" w:rsidP="00561167">
      <w:r w:rsidRPr="00C96842">
        <w:t>Amounts reported as deferred outflows of resources and deferred inflows of resources related to pensions will be recognized in pension expense in the fiscal years ended June 30 (expressed in thousands):</w:t>
      </w:r>
    </w:p>
    <w:p w14:paraId="68CB6808" w14:textId="77777777" w:rsidR="00561167" w:rsidRDefault="00561167" w:rsidP="00561167"/>
    <w:tbl>
      <w:tblPr>
        <w:tblW w:w="2880" w:type="dxa"/>
        <w:jc w:val="center"/>
        <w:tblLook w:val="04A0" w:firstRow="1" w:lastRow="0" w:firstColumn="1" w:lastColumn="0" w:noHBand="0" w:noVBand="1"/>
      </w:tblPr>
      <w:tblGrid>
        <w:gridCol w:w="1167"/>
        <w:gridCol w:w="1713"/>
      </w:tblGrid>
      <w:tr w:rsidR="00561167" w:rsidRPr="00E94D27" w14:paraId="14540959" w14:textId="77777777" w:rsidTr="00B00ED2">
        <w:trPr>
          <w:trHeight w:val="413"/>
          <w:jc w:val="center"/>
        </w:trPr>
        <w:tc>
          <w:tcPr>
            <w:tcW w:w="28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E62EE12" w14:textId="77777777" w:rsidR="00561167" w:rsidRPr="00E94D27" w:rsidRDefault="00561167" w:rsidP="00561167">
            <w:pPr>
              <w:jc w:val="center"/>
              <w:rPr>
                <w:rFonts w:ascii="Calibri" w:eastAsia="Times New Roman" w:hAnsi="Calibri" w:cs="Times New Roman"/>
                <w:color w:val="000000"/>
                <w:sz w:val="22"/>
                <w:szCs w:val="22"/>
              </w:rPr>
            </w:pPr>
            <w:r w:rsidRPr="00E94D27">
              <w:rPr>
                <w:rFonts w:ascii="Calibri" w:eastAsia="Times New Roman" w:hAnsi="Calibri" w:cs="Times New Roman"/>
                <w:color w:val="000000"/>
                <w:sz w:val="22"/>
                <w:szCs w:val="22"/>
              </w:rPr>
              <w:t>Skagit Valley College</w:t>
            </w:r>
          </w:p>
        </w:tc>
      </w:tr>
      <w:tr w:rsidR="00561167" w:rsidRPr="00E94D27" w14:paraId="12593281" w14:textId="77777777" w:rsidTr="00B00ED2">
        <w:trPr>
          <w:trHeight w:val="350"/>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76F768E1" w14:textId="77777777" w:rsidR="00561167" w:rsidRPr="00E94D27" w:rsidRDefault="00561167" w:rsidP="00561167">
            <w:pPr>
              <w:jc w:val="right"/>
              <w:rPr>
                <w:rFonts w:ascii="Calibri" w:eastAsia="Times New Roman" w:hAnsi="Calibri" w:cs="Times New Roman"/>
                <w:color w:val="000000"/>
                <w:sz w:val="22"/>
                <w:szCs w:val="22"/>
              </w:rPr>
            </w:pPr>
            <w:r w:rsidRPr="00E94D27">
              <w:rPr>
                <w:rFonts w:ascii="Calibri" w:eastAsia="Times New Roman" w:hAnsi="Calibri" w:cs="Times New Roman"/>
                <w:color w:val="000000"/>
                <w:sz w:val="22"/>
                <w:szCs w:val="22"/>
              </w:rPr>
              <w:t>2018</w:t>
            </w:r>
          </w:p>
        </w:tc>
        <w:tc>
          <w:tcPr>
            <w:tcW w:w="1713" w:type="dxa"/>
            <w:tcBorders>
              <w:top w:val="nil"/>
              <w:left w:val="nil"/>
              <w:bottom w:val="single" w:sz="4" w:space="0" w:color="auto"/>
              <w:right w:val="single" w:sz="4" w:space="0" w:color="auto"/>
            </w:tcBorders>
            <w:shd w:val="clear" w:color="auto" w:fill="auto"/>
            <w:noWrap/>
            <w:vAlign w:val="bottom"/>
            <w:hideMark/>
          </w:tcPr>
          <w:p w14:paraId="0C7F7FDF" w14:textId="77777777" w:rsidR="00561167" w:rsidRPr="00E94D27" w:rsidRDefault="00561167" w:rsidP="00561167">
            <w:pPr>
              <w:rPr>
                <w:rFonts w:ascii="Calibri" w:eastAsia="Times New Roman" w:hAnsi="Calibri" w:cs="Times New Roman"/>
                <w:color w:val="000000"/>
                <w:sz w:val="22"/>
                <w:szCs w:val="22"/>
              </w:rPr>
            </w:pPr>
            <w:r w:rsidRPr="00E94D27">
              <w:rPr>
                <w:rFonts w:ascii="Calibri" w:eastAsia="Times New Roman" w:hAnsi="Calibri" w:cs="Times New Roman"/>
                <w:color w:val="000000"/>
                <w:sz w:val="22"/>
                <w:szCs w:val="22"/>
              </w:rPr>
              <w:t xml:space="preserve">           (115.01)</w:t>
            </w:r>
          </w:p>
        </w:tc>
      </w:tr>
      <w:tr w:rsidR="00561167" w:rsidRPr="00E94D27" w14:paraId="2F7D827E" w14:textId="77777777" w:rsidTr="00B00ED2">
        <w:trPr>
          <w:trHeight w:val="332"/>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2F343F4" w14:textId="77777777" w:rsidR="00561167" w:rsidRPr="00E94D27" w:rsidRDefault="00561167" w:rsidP="00561167">
            <w:pPr>
              <w:jc w:val="right"/>
              <w:rPr>
                <w:rFonts w:ascii="Calibri" w:eastAsia="Times New Roman" w:hAnsi="Calibri" w:cs="Times New Roman"/>
                <w:color w:val="000000"/>
                <w:sz w:val="22"/>
                <w:szCs w:val="22"/>
              </w:rPr>
            </w:pPr>
            <w:r w:rsidRPr="00E94D27">
              <w:rPr>
                <w:rFonts w:ascii="Calibri" w:eastAsia="Times New Roman" w:hAnsi="Calibri" w:cs="Times New Roman"/>
                <w:color w:val="000000"/>
                <w:sz w:val="22"/>
                <w:szCs w:val="22"/>
              </w:rPr>
              <w:t>2019</w:t>
            </w:r>
          </w:p>
        </w:tc>
        <w:tc>
          <w:tcPr>
            <w:tcW w:w="1713" w:type="dxa"/>
            <w:tcBorders>
              <w:top w:val="nil"/>
              <w:left w:val="nil"/>
              <w:bottom w:val="single" w:sz="4" w:space="0" w:color="auto"/>
              <w:right w:val="single" w:sz="4" w:space="0" w:color="auto"/>
            </w:tcBorders>
            <w:shd w:val="clear" w:color="auto" w:fill="auto"/>
            <w:noWrap/>
            <w:vAlign w:val="bottom"/>
            <w:hideMark/>
          </w:tcPr>
          <w:p w14:paraId="498286E3" w14:textId="77777777" w:rsidR="00561167" w:rsidRPr="00E94D27" w:rsidRDefault="00561167" w:rsidP="00561167">
            <w:pPr>
              <w:rPr>
                <w:rFonts w:ascii="Calibri" w:eastAsia="Times New Roman" w:hAnsi="Calibri" w:cs="Times New Roman"/>
                <w:color w:val="000000"/>
                <w:sz w:val="22"/>
                <w:szCs w:val="22"/>
              </w:rPr>
            </w:pPr>
            <w:r w:rsidRPr="00E94D27">
              <w:rPr>
                <w:rFonts w:ascii="Calibri" w:eastAsia="Times New Roman" w:hAnsi="Calibri" w:cs="Times New Roman"/>
                <w:color w:val="000000"/>
                <w:sz w:val="22"/>
                <w:szCs w:val="22"/>
              </w:rPr>
              <w:t xml:space="preserve">           (115.01)</w:t>
            </w:r>
          </w:p>
        </w:tc>
      </w:tr>
      <w:tr w:rsidR="00561167" w:rsidRPr="00E94D27" w14:paraId="33EBDB12" w14:textId="77777777" w:rsidTr="00B00ED2">
        <w:trPr>
          <w:trHeight w:val="600"/>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7D03E5F3" w14:textId="77777777" w:rsidR="00561167" w:rsidRPr="00E94D27" w:rsidRDefault="00561167" w:rsidP="00561167">
            <w:pPr>
              <w:jc w:val="right"/>
              <w:rPr>
                <w:rFonts w:ascii="Calibri" w:eastAsia="Times New Roman" w:hAnsi="Calibri" w:cs="Times New Roman"/>
                <w:color w:val="000000"/>
                <w:sz w:val="22"/>
                <w:szCs w:val="22"/>
              </w:rPr>
            </w:pPr>
            <w:r w:rsidRPr="00E94D27">
              <w:rPr>
                <w:rFonts w:ascii="Calibri" w:eastAsia="Times New Roman" w:hAnsi="Calibri" w:cs="Times New Roman"/>
                <w:color w:val="000000"/>
                <w:sz w:val="22"/>
                <w:szCs w:val="22"/>
              </w:rPr>
              <w:t>2020</w:t>
            </w:r>
          </w:p>
        </w:tc>
        <w:tc>
          <w:tcPr>
            <w:tcW w:w="1713" w:type="dxa"/>
            <w:tcBorders>
              <w:top w:val="nil"/>
              <w:left w:val="nil"/>
              <w:bottom w:val="single" w:sz="4" w:space="0" w:color="auto"/>
              <w:right w:val="single" w:sz="4" w:space="0" w:color="auto"/>
            </w:tcBorders>
            <w:shd w:val="clear" w:color="auto" w:fill="auto"/>
            <w:noWrap/>
            <w:vAlign w:val="bottom"/>
            <w:hideMark/>
          </w:tcPr>
          <w:p w14:paraId="199994BD" w14:textId="77777777" w:rsidR="00561167" w:rsidRPr="00E94D27" w:rsidRDefault="00561167" w:rsidP="00561167">
            <w:pPr>
              <w:rPr>
                <w:rFonts w:ascii="Calibri" w:eastAsia="Times New Roman" w:hAnsi="Calibri" w:cs="Times New Roman"/>
                <w:color w:val="000000"/>
                <w:sz w:val="22"/>
                <w:szCs w:val="22"/>
              </w:rPr>
            </w:pPr>
            <w:r w:rsidRPr="00E94D27">
              <w:rPr>
                <w:rFonts w:ascii="Calibri" w:eastAsia="Times New Roman" w:hAnsi="Calibri" w:cs="Times New Roman"/>
                <w:color w:val="000000"/>
                <w:sz w:val="22"/>
                <w:szCs w:val="22"/>
              </w:rPr>
              <w:t xml:space="preserve">           (115.01)</w:t>
            </w:r>
          </w:p>
        </w:tc>
      </w:tr>
      <w:tr w:rsidR="00561167" w:rsidRPr="00E94D27" w14:paraId="37EB542F" w14:textId="77777777" w:rsidTr="00B00ED2">
        <w:trPr>
          <w:trHeight w:val="300"/>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7A401528" w14:textId="77777777" w:rsidR="00561167" w:rsidRPr="00E94D27" w:rsidRDefault="00561167" w:rsidP="00561167">
            <w:pPr>
              <w:jc w:val="right"/>
              <w:rPr>
                <w:rFonts w:ascii="Calibri" w:eastAsia="Times New Roman" w:hAnsi="Calibri" w:cs="Times New Roman"/>
                <w:color w:val="000000"/>
                <w:sz w:val="22"/>
                <w:szCs w:val="22"/>
              </w:rPr>
            </w:pPr>
            <w:r w:rsidRPr="00E94D27">
              <w:rPr>
                <w:rFonts w:ascii="Calibri" w:eastAsia="Times New Roman" w:hAnsi="Calibri" w:cs="Times New Roman"/>
                <w:color w:val="000000"/>
                <w:sz w:val="22"/>
                <w:szCs w:val="22"/>
              </w:rPr>
              <w:t>2021</w:t>
            </w:r>
          </w:p>
        </w:tc>
        <w:tc>
          <w:tcPr>
            <w:tcW w:w="1713" w:type="dxa"/>
            <w:tcBorders>
              <w:top w:val="nil"/>
              <w:left w:val="nil"/>
              <w:bottom w:val="single" w:sz="4" w:space="0" w:color="auto"/>
              <w:right w:val="single" w:sz="4" w:space="0" w:color="auto"/>
            </w:tcBorders>
            <w:shd w:val="clear" w:color="auto" w:fill="auto"/>
            <w:noWrap/>
            <w:vAlign w:val="bottom"/>
            <w:hideMark/>
          </w:tcPr>
          <w:p w14:paraId="077894A6" w14:textId="77777777" w:rsidR="00561167" w:rsidRPr="00E94D27" w:rsidRDefault="00561167" w:rsidP="00561167">
            <w:pPr>
              <w:rPr>
                <w:rFonts w:ascii="Calibri" w:eastAsia="Times New Roman" w:hAnsi="Calibri" w:cs="Times New Roman"/>
                <w:color w:val="000000"/>
                <w:sz w:val="22"/>
                <w:szCs w:val="22"/>
              </w:rPr>
            </w:pPr>
            <w:r w:rsidRPr="00E94D27">
              <w:rPr>
                <w:rFonts w:ascii="Calibri" w:eastAsia="Times New Roman" w:hAnsi="Calibri" w:cs="Times New Roman"/>
                <w:color w:val="000000"/>
                <w:sz w:val="22"/>
                <w:szCs w:val="22"/>
              </w:rPr>
              <w:t xml:space="preserve">           (115.01)</w:t>
            </w:r>
          </w:p>
        </w:tc>
      </w:tr>
      <w:tr w:rsidR="00561167" w:rsidRPr="00E94D27" w14:paraId="65E328C6" w14:textId="77777777" w:rsidTr="00B00ED2">
        <w:trPr>
          <w:trHeight w:val="300"/>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A096B89" w14:textId="77777777" w:rsidR="00561167" w:rsidRPr="00E94D27" w:rsidRDefault="00561167" w:rsidP="00561167">
            <w:pPr>
              <w:jc w:val="right"/>
              <w:rPr>
                <w:rFonts w:ascii="Calibri" w:eastAsia="Times New Roman" w:hAnsi="Calibri" w:cs="Times New Roman"/>
                <w:color w:val="000000"/>
                <w:sz w:val="22"/>
                <w:szCs w:val="22"/>
              </w:rPr>
            </w:pPr>
            <w:r w:rsidRPr="00E94D27">
              <w:rPr>
                <w:rFonts w:ascii="Calibri" w:eastAsia="Times New Roman" w:hAnsi="Calibri" w:cs="Times New Roman"/>
                <w:color w:val="000000"/>
                <w:sz w:val="22"/>
                <w:szCs w:val="22"/>
              </w:rPr>
              <w:t>2022</w:t>
            </w:r>
          </w:p>
        </w:tc>
        <w:tc>
          <w:tcPr>
            <w:tcW w:w="1713" w:type="dxa"/>
            <w:tcBorders>
              <w:top w:val="nil"/>
              <w:left w:val="nil"/>
              <w:bottom w:val="single" w:sz="4" w:space="0" w:color="auto"/>
              <w:right w:val="single" w:sz="4" w:space="0" w:color="auto"/>
            </w:tcBorders>
            <w:shd w:val="clear" w:color="auto" w:fill="auto"/>
            <w:noWrap/>
            <w:vAlign w:val="bottom"/>
            <w:hideMark/>
          </w:tcPr>
          <w:p w14:paraId="366F4627" w14:textId="77777777" w:rsidR="00561167" w:rsidRPr="00E94D27" w:rsidRDefault="00561167" w:rsidP="00561167">
            <w:pPr>
              <w:rPr>
                <w:rFonts w:ascii="Calibri" w:eastAsia="Times New Roman" w:hAnsi="Calibri" w:cs="Times New Roman"/>
                <w:color w:val="000000"/>
                <w:sz w:val="22"/>
                <w:szCs w:val="22"/>
              </w:rPr>
            </w:pPr>
            <w:r w:rsidRPr="00E94D27">
              <w:rPr>
                <w:rFonts w:ascii="Calibri" w:eastAsia="Times New Roman" w:hAnsi="Calibri" w:cs="Times New Roman"/>
                <w:color w:val="000000"/>
                <w:sz w:val="22"/>
                <w:szCs w:val="22"/>
              </w:rPr>
              <w:t xml:space="preserve">           (115.01)</w:t>
            </w:r>
          </w:p>
        </w:tc>
      </w:tr>
      <w:tr w:rsidR="00561167" w:rsidRPr="00E94D27" w14:paraId="4025135D" w14:textId="77777777" w:rsidTr="00B00ED2">
        <w:trPr>
          <w:trHeight w:val="300"/>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6A00F44" w14:textId="77777777" w:rsidR="00561167" w:rsidRPr="00E94D27" w:rsidRDefault="00561167" w:rsidP="00561167">
            <w:pPr>
              <w:rPr>
                <w:rFonts w:ascii="Calibri" w:eastAsia="Times New Roman" w:hAnsi="Calibri" w:cs="Times New Roman"/>
                <w:color w:val="000000"/>
                <w:sz w:val="22"/>
                <w:szCs w:val="22"/>
              </w:rPr>
            </w:pPr>
            <w:r w:rsidRPr="00E94D27">
              <w:rPr>
                <w:rFonts w:ascii="Calibri" w:eastAsia="Times New Roman" w:hAnsi="Calibri" w:cs="Times New Roman"/>
                <w:color w:val="000000"/>
                <w:sz w:val="22"/>
                <w:szCs w:val="22"/>
              </w:rPr>
              <w:t>Thereafter</w:t>
            </w:r>
          </w:p>
        </w:tc>
        <w:tc>
          <w:tcPr>
            <w:tcW w:w="1713" w:type="dxa"/>
            <w:tcBorders>
              <w:top w:val="nil"/>
              <w:left w:val="nil"/>
              <w:bottom w:val="single" w:sz="4" w:space="0" w:color="auto"/>
              <w:right w:val="single" w:sz="4" w:space="0" w:color="auto"/>
            </w:tcBorders>
            <w:shd w:val="clear" w:color="auto" w:fill="auto"/>
            <w:noWrap/>
            <w:vAlign w:val="bottom"/>
            <w:hideMark/>
          </w:tcPr>
          <w:p w14:paraId="55768DA7" w14:textId="77777777" w:rsidR="00561167" w:rsidRPr="00E94D27" w:rsidRDefault="00561167" w:rsidP="00561167">
            <w:pPr>
              <w:rPr>
                <w:rFonts w:ascii="Calibri" w:eastAsia="Times New Roman" w:hAnsi="Calibri" w:cs="Times New Roman"/>
                <w:color w:val="000000"/>
                <w:sz w:val="22"/>
                <w:szCs w:val="22"/>
              </w:rPr>
            </w:pPr>
            <w:r w:rsidRPr="00E94D27">
              <w:rPr>
                <w:rFonts w:ascii="Calibri" w:eastAsia="Times New Roman" w:hAnsi="Calibri" w:cs="Times New Roman"/>
                <w:color w:val="000000"/>
                <w:sz w:val="22"/>
                <w:szCs w:val="22"/>
              </w:rPr>
              <w:t xml:space="preserve">           (183.94)</w:t>
            </w:r>
          </w:p>
        </w:tc>
      </w:tr>
    </w:tbl>
    <w:p w14:paraId="6964AC80" w14:textId="77777777" w:rsidR="00561167" w:rsidRDefault="00561167" w:rsidP="00561167">
      <w:pPr>
        <w:jc w:val="center"/>
      </w:pPr>
    </w:p>
    <w:p w14:paraId="563AA2E9" w14:textId="77777777" w:rsidR="00561167" w:rsidRDefault="00561167" w:rsidP="00561167"/>
    <w:p w14:paraId="22889A84" w14:textId="77777777" w:rsidR="00561167" w:rsidRDefault="00561167" w:rsidP="00561167"/>
    <w:p w14:paraId="6D9C7392" w14:textId="77777777" w:rsidR="00561167" w:rsidRPr="007E0E92" w:rsidRDefault="00561167" w:rsidP="00561167">
      <w:pPr>
        <w:rPr>
          <w:b/>
          <w:u w:val="single"/>
        </w:rPr>
      </w:pPr>
      <w:r w:rsidRPr="007E0E92">
        <w:rPr>
          <w:b/>
          <w:u w:val="single"/>
        </w:rPr>
        <w:t xml:space="preserve">D. Defined Contribution Plans </w:t>
      </w:r>
    </w:p>
    <w:p w14:paraId="260A9C08" w14:textId="77777777" w:rsidR="00561167" w:rsidRPr="007E0E92" w:rsidRDefault="00561167" w:rsidP="00561167">
      <w:pPr>
        <w:rPr>
          <w:b/>
          <w:i/>
        </w:rPr>
      </w:pPr>
      <w:r w:rsidRPr="007E0E92">
        <w:rPr>
          <w:b/>
          <w:i/>
        </w:rPr>
        <w:t xml:space="preserve">Public Employees’ Retirement System Plan 3 </w:t>
      </w:r>
    </w:p>
    <w:p w14:paraId="00109948" w14:textId="77777777" w:rsidR="00561167" w:rsidRDefault="00561167" w:rsidP="00561167">
      <w:r>
        <w:t xml:space="preserve">The Public Employees’ Retirement System (PERS) Plan 3 is a combination defined benefit/defined contribution plan administered by the state through the Department of Retirement Systems (DRS). </w:t>
      </w:r>
    </w:p>
    <w:p w14:paraId="17D4FF61" w14:textId="77777777" w:rsidR="00561167" w:rsidRDefault="00561167" w:rsidP="00561167"/>
    <w:p w14:paraId="6155E3C3" w14:textId="77777777" w:rsidR="00561167" w:rsidRDefault="00561167" w:rsidP="00561167">
      <w:r>
        <w:t>PERS Plan 3 has a dual benefit structure. Employer contributions finance a defined benefit component, and member contributions finance a defined contribution component. As established by chapter 41.34 RCW, employee contribution rates to the defined contribution component range from 5 percent to 15 percent of salaries, based on member choice. Members who do not choose a contribution rate default to a 5 percent rate. There are currently no requirements for employer contributions to the defined contribution component of PERS Plan 3.</w:t>
      </w:r>
    </w:p>
    <w:p w14:paraId="370F87D3" w14:textId="77777777" w:rsidR="00561167" w:rsidRDefault="00561167" w:rsidP="00561167"/>
    <w:p w14:paraId="69DA8510" w14:textId="77777777" w:rsidR="00561167" w:rsidRDefault="00561167" w:rsidP="00561167">
      <w:r>
        <w:t>PERS Plan 3 defined contribution retirement benefits are dependent on employee contributions and investment earnings on those contributions.  Members may elect to self-direct the investment of their contributions. Any expenses incurred in conjunction with self-directed investments are paid by members. Absent a member’s self-direction, PERS Plan 3 contributions are invested in the retirement strategy fund that assumes the member will retire at age 65.</w:t>
      </w:r>
    </w:p>
    <w:p w14:paraId="7F2FA7BA" w14:textId="77777777" w:rsidR="00561167" w:rsidRDefault="00561167" w:rsidP="00561167"/>
    <w:p w14:paraId="62428081" w14:textId="77777777" w:rsidR="00561167" w:rsidRDefault="00561167" w:rsidP="00561167">
      <w:r>
        <w:t>Members in PERS Plan 3 are immediately vested in the defined contribution portion of their plan, and can elect to withdraw total employee contributions, adjusted by earnings and losses from investments of those contributions, upon separation from PERS-covered employment.</w:t>
      </w:r>
    </w:p>
    <w:p w14:paraId="2C48D178" w14:textId="77777777" w:rsidR="00561167" w:rsidRDefault="00561167" w:rsidP="00561167"/>
    <w:p w14:paraId="1C205F9A" w14:textId="77777777" w:rsidR="00946F01" w:rsidRDefault="00946F01" w:rsidP="00561167">
      <w:pPr>
        <w:rPr>
          <w:b/>
          <w:i/>
        </w:rPr>
      </w:pPr>
    </w:p>
    <w:p w14:paraId="5D2F96F8" w14:textId="77777777" w:rsidR="00946F01" w:rsidRDefault="00946F01" w:rsidP="00561167">
      <w:pPr>
        <w:rPr>
          <w:b/>
          <w:i/>
        </w:rPr>
      </w:pPr>
    </w:p>
    <w:p w14:paraId="0098C50F" w14:textId="166C8B7A" w:rsidR="00561167" w:rsidRPr="007E0E92" w:rsidRDefault="00561167" w:rsidP="00561167">
      <w:pPr>
        <w:rPr>
          <w:b/>
          <w:i/>
        </w:rPr>
      </w:pPr>
      <w:r w:rsidRPr="007E0E92">
        <w:rPr>
          <w:b/>
          <w:i/>
        </w:rPr>
        <w:t>Teachers’ Retirement System Plan 3</w:t>
      </w:r>
    </w:p>
    <w:p w14:paraId="7FCC8977" w14:textId="77777777" w:rsidR="00561167" w:rsidRDefault="00561167" w:rsidP="00561167">
      <w:r>
        <w:t>The Teachers’ Retirement System (TRS) Plan 3 is a combination defined benefit/defined contribution plan administered by the state through the Department of Retirement Systems (DRS). Refer Note 11.B for TRS Plan descriptions.</w:t>
      </w:r>
    </w:p>
    <w:p w14:paraId="64C2A333" w14:textId="77777777" w:rsidR="00561167" w:rsidRDefault="00561167" w:rsidP="00561167"/>
    <w:p w14:paraId="19FBC268" w14:textId="77777777" w:rsidR="00561167" w:rsidRDefault="00561167" w:rsidP="00561167">
      <w:r>
        <w:t>TRS Plan 3 has a dual benefit structure. Employer contributions finance a defined benefit component, and member contributions finance a defined contribution component. As established by chapter 41.34 RCW, employee contribution rates to the defined contribution component range from 5 percent to 15 percent of salaries, based on member choice. Members who do not choose a contribution rate default to a 5 percent rate. There are currently no requirements for employer contributions to the defined contribution component of TRS Plan 3.</w:t>
      </w:r>
    </w:p>
    <w:p w14:paraId="6A5DD251" w14:textId="77777777" w:rsidR="00561167" w:rsidRDefault="00561167" w:rsidP="00561167"/>
    <w:p w14:paraId="2C5A52A8" w14:textId="77777777" w:rsidR="00561167" w:rsidRDefault="00561167" w:rsidP="00561167">
      <w:r>
        <w:t xml:space="preserve">TRS Plan 3 defined contribution retirement benefits are dependent on employee contributions and investment earnings on those contributions.  Members may elect to self-direct the investment of their contributions. Any expenses incurred in conjunction with self-directed investments are </w:t>
      </w:r>
      <w:r>
        <w:lastRenderedPageBreak/>
        <w:t>paid by members. Absent a member’s self-direction, TRS Plan 3 contributions are invested in the retirement strategy fund that assumes the member will retire at age 65.</w:t>
      </w:r>
    </w:p>
    <w:p w14:paraId="2021B9B8" w14:textId="77777777" w:rsidR="00561167" w:rsidRDefault="00561167" w:rsidP="00561167"/>
    <w:p w14:paraId="48DE94A5" w14:textId="77777777" w:rsidR="00561167" w:rsidRDefault="00561167" w:rsidP="00561167">
      <w:r>
        <w:t>Members in TRS Plan 3 are immediately vested in the defined contribution portion of their plan, and can elect to withdraw total employee contributions, adjusted by earnings and losses from investments of those contributions, upon separation from TRS-covered employment.</w:t>
      </w:r>
    </w:p>
    <w:p w14:paraId="1DF95EC0" w14:textId="77777777" w:rsidR="00561167" w:rsidRPr="0043136B" w:rsidRDefault="00561167" w:rsidP="00561167">
      <w:pPr>
        <w:rPr>
          <w:highlight w:val="yellow"/>
        </w:rPr>
      </w:pPr>
    </w:p>
    <w:p w14:paraId="02B4B94E" w14:textId="77777777" w:rsidR="00561167" w:rsidRPr="00626FC3" w:rsidRDefault="00561167" w:rsidP="00561167">
      <w:pPr>
        <w:autoSpaceDE w:val="0"/>
        <w:autoSpaceDN w:val="0"/>
        <w:adjustRightInd w:val="0"/>
        <w:rPr>
          <w:rFonts w:cs="Times New Roman"/>
          <w:b/>
          <w:i/>
        </w:rPr>
      </w:pPr>
      <w:r w:rsidRPr="00626FC3">
        <w:rPr>
          <w:rFonts w:cs="Times New Roman"/>
          <w:b/>
          <w:i/>
        </w:rPr>
        <w:t>Washington State Deferred Compensation Program</w:t>
      </w:r>
    </w:p>
    <w:p w14:paraId="6A3598BC" w14:textId="77777777" w:rsidR="00561167" w:rsidRDefault="00561167" w:rsidP="00561167">
      <w:pPr>
        <w:autoSpaceDE w:val="0"/>
        <w:autoSpaceDN w:val="0"/>
        <w:adjustRightInd w:val="0"/>
        <w:rPr>
          <w:rFonts w:cs="Times New Roman"/>
        </w:rPr>
      </w:pPr>
      <w:r w:rsidRPr="00EE1311">
        <w:rPr>
          <w:rFonts w:cs="Times New Roman"/>
        </w:rPr>
        <w:t>The College, through the state of Washington, offers its employees a deferred compensation plan created</w:t>
      </w:r>
      <w:r>
        <w:rPr>
          <w:rFonts w:cs="Times New Roman"/>
        </w:rPr>
        <w:t xml:space="preserve"> </w:t>
      </w:r>
      <w:r w:rsidRPr="00EE1311">
        <w:rPr>
          <w:rFonts w:cs="Times New Roman"/>
        </w:rPr>
        <w:t>under Internal Revenue Code Section 457. The plan, available to all State employees, permits individuals</w:t>
      </w:r>
      <w:r>
        <w:rPr>
          <w:rFonts w:cs="Times New Roman"/>
        </w:rPr>
        <w:t xml:space="preserve"> </w:t>
      </w:r>
      <w:r w:rsidRPr="00EE1311">
        <w:rPr>
          <w:rFonts w:cs="Times New Roman"/>
        </w:rPr>
        <w:t>to defer a portion of their salary until future years. The state of Washington administers the plan on</w:t>
      </w:r>
      <w:r>
        <w:rPr>
          <w:rFonts w:cs="Times New Roman"/>
        </w:rPr>
        <w:t xml:space="preserve"> </w:t>
      </w:r>
      <w:r w:rsidRPr="00EE1311">
        <w:rPr>
          <w:rFonts w:cs="Times New Roman"/>
        </w:rPr>
        <w:t>behalf of the College’s employees. The deferred compensation is not available to employees until</w:t>
      </w:r>
      <w:r>
        <w:rPr>
          <w:rFonts w:cs="Times New Roman"/>
        </w:rPr>
        <w:t xml:space="preserve"> </w:t>
      </w:r>
      <w:r w:rsidRPr="00EE1311">
        <w:rPr>
          <w:rFonts w:cs="Times New Roman"/>
        </w:rPr>
        <w:t>termination, retirement or unforeseeable financial emergency.</w:t>
      </w:r>
      <w:r>
        <w:rPr>
          <w:rFonts w:cs="Times New Roman"/>
        </w:rPr>
        <w:t xml:space="preserve">  The College does not have access to the funds.</w:t>
      </w:r>
    </w:p>
    <w:p w14:paraId="2531555E" w14:textId="77777777" w:rsidR="00561167" w:rsidRPr="00EE1311" w:rsidRDefault="00561167" w:rsidP="00561167">
      <w:pPr>
        <w:autoSpaceDE w:val="0"/>
        <w:autoSpaceDN w:val="0"/>
        <w:adjustRightInd w:val="0"/>
        <w:rPr>
          <w:rFonts w:cs="Times New Roman"/>
        </w:rPr>
      </w:pPr>
    </w:p>
    <w:p w14:paraId="70A4C54C" w14:textId="77777777" w:rsidR="00561167" w:rsidRPr="00C13603" w:rsidRDefault="00561167" w:rsidP="00561167">
      <w:pPr>
        <w:rPr>
          <w:highlight w:val="yellow"/>
        </w:rPr>
      </w:pPr>
    </w:p>
    <w:p w14:paraId="7C31DFC1" w14:textId="77777777" w:rsidR="00561167" w:rsidRPr="00A23855" w:rsidRDefault="00561167" w:rsidP="00561167">
      <w:pPr>
        <w:rPr>
          <w:b/>
          <w:bCs/>
          <w:iCs/>
        </w:rPr>
      </w:pPr>
      <w:r>
        <w:rPr>
          <w:b/>
          <w:bCs/>
          <w:iCs/>
        </w:rPr>
        <w:t xml:space="preserve">18. </w:t>
      </w:r>
      <w:r w:rsidRPr="00A23855">
        <w:rPr>
          <w:b/>
          <w:bCs/>
          <w:iCs/>
        </w:rPr>
        <w:t>Other Post-Employment Benefits</w:t>
      </w:r>
    </w:p>
    <w:p w14:paraId="2061E5BA" w14:textId="77777777" w:rsidR="00561167" w:rsidRDefault="00561167" w:rsidP="00561167">
      <w:pPr>
        <w:rPr>
          <w:highlight w:val="yellow"/>
        </w:rPr>
      </w:pPr>
      <w:r w:rsidRPr="00EA0BB9">
        <w:t xml:space="preserve">Health care and life insurance programs for employees of the state of Washington are administered by the Washington State Health Care Authority (HCA). The HCA calculates the premium amounts each year that are sufficient to fund the statewide health and life insurance programs on a pay-as-you-go basis. These costs are passed through to individual state agencies based upon active employee headcount; the agencies pay the premiums for active employees to the HCA. The agencies may also charge employees for certain higher cost options elected by the employee. </w:t>
      </w:r>
    </w:p>
    <w:p w14:paraId="66B6D8B9" w14:textId="77777777" w:rsidR="00561167" w:rsidRDefault="00561167" w:rsidP="00561167">
      <w:pPr>
        <w:rPr>
          <w:highlight w:val="yellow"/>
        </w:rPr>
      </w:pPr>
    </w:p>
    <w:p w14:paraId="0FA52E57" w14:textId="77777777" w:rsidR="00561167" w:rsidRDefault="00561167" w:rsidP="00561167">
      <w:pPr>
        <w:rPr>
          <w:highlight w:val="yellow"/>
        </w:rPr>
      </w:pPr>
      <w:r w:rsidRPr="00EA0BB9">
        <w:t xml:space="preserve">State of Washington retirees may elect coverage through state health and life insurance plans, for which they pay less than the full cost of the benefits, based on their age and other demographic factors. The health care premiums for active employees, which are paid by the agency during the employees’ working careers, subsidize the “underpayments” of retirees. An additional factor in the Other Post-Employment Benefits (OPEB) obligation is a payment that is required by the State Legislature to reduce the premiums for retirees covered by Medicare (an “explicit” subsidy). This explicit subsidy is also passed through to state agencies via active employee rates charged to the agency. There is no formal state or </w:t>
      </w:r>
      <w:r>
        <w:t>College</w:t>
      </w:r>
      <w:r w:rsidRPr="00EA0BB9">
        <w:t xml:space="preserve"> plan that underlies the subsidy of</w:t>
      </w:r>
      <w:r w:rsidRPr="00C13603">
        <w:rPr>
          <w:highlight w:val="yellow"/>
        </w:rPr>
        <w:t xml:space="preserve"> </w:t>
      </w:r>
      <w:r w:rsidRPr="00EA0BB9">
        <w:t xml:space="preserve">retiree health and life insurance. </w:t>
      </w:r>
    </w:p>
    <w:p w14:paraId="4EEF801E" w14:textId="77777777" w:rsidR="00561167" w:rsidRDefault="00561167" w:rsidP="00561167"/>
    <w:p w14:paraId="5512E7CC" w14:textId="77777777" w:rsidR="00561167" w:rsidRPr="001B7E84" w:rsidRDefault="00561167" w:rsidP="00561167">
      <w:r w:rsidRPr="00911E02">
        <w:t xml:space="preserve">The actuary allocated the statewide disclosure information to the community and technical college system level.  The SBCTC further allocated these amounts among the colleges.  The College’s share of the GASB 45 actuarially accrued liability (AAL) is $19,865,433, with an annual required contribution (ARC) of $1,789,916.  The ARC represents the amortization of the liability for FY 2017 plus the current expense for active employees, which is reduced by the current contributions of approximately $384,046.  The College’s net OPEB obligation at June 30, </w:t>
      </w:r>
      <w:r w:rsidRPr="00911E02">
        <w:lastRenderedPageBreak/>
        <w:t>2017 was approximately $5,236,160.  This amount is not included in the College’s financial statements.</w:t>
      </w:r>
    </w:p>
    <w:p w14:paraId="51536256" w14:textId="77777777" w:rsidR="00561167" w:rsidRPr="001B7E84" w:rsidRDefault="00561167" w:rsidP="00561167"/>
    <w:p w14:paraId="06F0664C" w14:textId="77777777" w:rsidR="00561167" w:rsidRPr="00EA0BB9" w:rsidRDefault="00561167" w:rsidP="00561167">
      <w:r w:rsidRPr="001B7E84">
        <w:t>The College paid $4,664,388 for healthcare expenses in 2017, which included its pay-as-you-go portion of the OPEB liability.</w:t>
      </w:r>
    </w:p>
    <w:p w14:paraId="4F91180C" w14:textId="77777777" w:rsidR="00561167" w:rsidRDefault="00561167" w:rsidP="00561167">
      <w:pPr>
        <w:rPr>
          <w:highlight w:val="yellow"/>
        </w:rPr>
      </w:pPr>
    </w:p>
    <w:p w14:paraId="0C54652C" w14:textId="77777777" w:rsidR="00561167" w:rsidRPr="00C13603" w:rsidRDefault="00561167" w:rsidP="00561167">
      <w:pPr>
        <w:rPr>
          <w:highlight w:val="yellow"/>
        </w:rPr>
      </w:pPr>
    </w:p>
    <w:p w14:paraId="1CB9F02D" w14:textId="2F979CC0" w:rsidR="00561167" w:rsidRPr="00B63E2A" w:rsidRDefault="00561167" w:rsidP="00561167">
      <w:pPr>
        <w:rPr>
          <w:b/>
          <w:bCs/>
        </w:rPr>
      </w:pPr>
      <w:r w:rsidRPr="00810C24">
        <w:rPr>
          <w:b/>
          <w:bCs/>
        </w:rPr>
        <w:t>19. Ope</w:t>
      </w:r>
      <w:r w:rsidR="00D57D1A">
        <w:rPr>
          <w:b/>
          <w:bCs/>
        </w:rPr>
        <w:t>rating Expenses by Program</w:t>
      </w:r>
    </w:p>
    <w:p w14:paraId="243FA1C0" w14:textId="77777777" w:rsidR="00561167" w:rsidRDefault="00561167" w:rsidP="00561167">
      <w:r w:rsidRPr="00B63E2A">
        <w:t xml:space="preserve">In the Statement of Revenues, Expenses and Changes in Net </w:t>
      </w:r>
      <w:r>
        <w:t>Position</w:t>
      </w:r>
      <w:r w:rsidRPr="00B63E2A">
        <w:t>, operating expenses are displayed by natural classifications, such as salaries, benefits, and supplies. The table below summarizes operating expenses by program or function such as instruction, research, and academic support. The following table lists operating expenses by program f</w:t>
      </w:r>
      <w:r>
        <w:t>or the year ending June 30, 2017</w:t>
      </w:r>
      <w:r w:rsidRPr="00B63E2A">
        <w:t>.</w:t>
      </w:r>
    </w:p>
    <w:p w14:paraId="382D0D74" w14:textId="77777777" w:rsidR="00561167" w:rsidRDefault="00561167" w:rsidP="00561167"/>
    <w:bookmarkStart w:id="41" w:name="_MON_1445866090"/>
    <w:bookmarkEnd w:id="41"/>
    <w:p w14:paraId="3369F8A7" w14:textId="77777777" w:rsidR="00561167" w:rsidRDefault="00561167" w:rsidP="00977134">
      <w:pPr>
        <w:jc w:val="center"/>
      </w:pPr>
      <w:r>
        <w:object w:dxaOrig="6805" w:dyaOrig="2939" w14:anchorId="2FA22C8C">
          <v:shape id="_x0000_i1047" type="#_x0000_t75" style="width:338.25pt;height:158.25pt" o:ole="">
            <v:imagedata r:id="rId69" o:title=""/>
          </v:shape>
          <o:OLEObject Type="Embed" ProgID="Excel.Sheet.12" ShapeID="_x0000_i1047" DrawAspect="Content" ObjectID="_1577870071" r:id="rId70"/>
        </w:object>
      </w:r>
    </w:p>
    <w:p w14:paraId="0374EC86" w14:textId="77777777" w:rsidR="00561167" w:rsidRPr="00B63E2A" w:rsidRDefault="00561167" w:rsidP="00561167"/>
    <w:p w14:paraId="37A27997" w14:textId="77777777" w:rsidR="00561167" w:rsidRPr="00C13603" w:rsidRDefault="00561167" w:rsidP="00561167">
      <w:pPr>
        <w:rPr>
          <w:highlight w:val="yellow"/>
        </w:rPr>
      </w:pPr>
    </w:p>
    <w:p w14:paraId="6F1F766F" w14:textId="77777777" w:rsidR="00561167" w:rsidRPr="00626FC3" w:rsidRDefault="00561167" w:rsidP="00561167">
      <w:pPr>
        <w:rPr>
          <w:b/>
          <w:bCs/>
        </w:rPr>
      </w:pPr>
      <w:r>
        <w:rPr>
          <w:b/>
          <w:bCs/>
        </w:rPr>
        <w:t>20</w:t>
      </w:r>
      <w:r w:rsidRPr="00954E47">
        <w:rPr>
          <w:b/>
          <w:bCs/>
        </w:rPr>
        <w:t>. Commitments and Contingencies</w:t>
      </w:r>
      <w:r>
        <w:br/>
      </w:r>
      <w:r w:rsidRPr="00CE6B9A">
        <w:t xml:space="preserve">The College is </w:t>
      </w:r>
      <w:r w:rsidRPr="00161741">
        <w:t>engaged in various legal actions in the ordinary course of business. Management does not believe the ultimate outcome of these actions will have a material adverse effect on the financial statement.</w:t>
      </w:r>
      <w:r w:rsidRPr="00954E47">
        <w:t xml:space="preserve"> </w:t>
      </w:r>
    </w:p>
    <w:p w14:paraId="250F85B3" w14:textId="77777777" w:rsidR="00561167" w:rsidRDefault="00561167" w:rsidP="00561167">
      <w:pPr>
        <w:rPr>
          <w:highlight w:val="yellow"/>
        </w:rPr>
      </w:pPr>
    </w:p>
    <w:p w14:paraId="5F88E3CA" w14:textId="77777777" w:rsidR="00561167" w:rsidRPr="00EA0BB9" w:rsidRDefault="00561167" w:rsidP="00561167">
      <w:r w:rsidRPr="00EA0BB9">
        <w:t xml:space="preserve">The </w:t>
      </w:r>
      <w:r>
        <w:t xml:space="preserve">College has </w:t>
      </w:r>
      <w:r w:rsidRPr="00911E02">
        <w:t>commitments of $2,788,734</w:t>
      </w:r>
      <w:r>
        <w:t xml:space="preserve"> </w:t>
      </w:r>
      <w:r w:rsidRPr="00EA0BB9">
        <w:t xml:space="preserve">for various capital improvement projects that include </w:t>
      </w:r>
      <w:r>
        <w:t>athletic field improvements, construction and completion of a Fire Station for the Fire Tech Program,</w:t>
      </w:r>
      <w:r w:rsidRPr="00EA0BB9">
        <w:t xml:space="preserve"> and renovations of existing buildings.</w:t>
      </w:r>
    </w:p>
    <w:p w14:paraId="2197AC54" w14:textId="77777777" w:rsidR="00561167" w:rsidRDefault="00561167" w:rsidP="00561167">
      <w:pPr>
        <w:rPr>
          <w:highlight w:val="yellow"/>
        </w:rPr>
      </w:pPr>
    </w:p>
    <w:p w14:paraId="52BAD43A" w14:textId="77777777" w:rsidR="00561167" w:rsidRPr="00C13603" w:rsidRDefault="00561167" w:rsidP="00561167">
      <w:pPr>
        <w:rPr>
          <w:highlight w:val="yellow"/>
        </w:rPr>
      </w:pPr>
    </w:p>
    <w:p w14:paraId="646C9A5F" w14:textId="77777777" w:rsidR="00561167" w:rsidRPr="00810C24" w:rsidRDefault="00561167" w:rsidP="00561167">
      <w:pPr>
        <w:rPr>
          <w:b/>
          <w:bCs/>
        </w:rPr>
      </w:pPr>
      <w:r>
        <w:rPr>
          <w:b/>
          <w:bCs/>
        </w:rPr>
        <w:t>21</w:t>
      </w:r>
      <w:r w:rsidRPr="00276BCA">
        <w:rPr>
          <w:b/>
          <w:bCs/>
        </w:rPr>
        <w:t>. Subsequent Events</w:t>
      </w:r>
      <w:r>
        <w:rPr>
          <w:sz w:val="16"/>
          <w:szCs w:val="16"/>
          <w:highlight w:val="lightGray"/>
        </w:rPr>
        <w:br/>
      </w:r>
      <w:r>
        <w:t>The College does not have any subsequent events as of June 30, 2017 to report.</w:t>
      </w:r>
    </w:p>
    <w:p w14:paraId="356B1E88" w14:textId="77777777" w:rsidR="00561167" w:rsidRPr="00D0793D" w:rsidRDefault="00561167" w:rsidP="00561167"/>
    <w:p w14:paraId="697F1016" w14:textId="77777777" w:rsidR="003F6741" w:rsidRDefault="003F6741"/>
    <w:p w14:paraId="4A98FD2D" w14:textId="256494DB" w:rsidR="003F6741" w:rsidRPr="00977134" w:rsidRDefault="002B69DB" w:rsidP="003F6741">
      <w:pPr>
        <w:pStyle w:val="Heading1"/>
        <w:rPr>
          <w:color w:val="auto"/>
        </w:rPr>
      </w:pPr>
      <w:bookmarkStart w:id="42" w:name="_Toc498672897"/>
      <w:r w:rsidRPr="00977134">
        <w:rPr>
          <w:color w:val="auto"/>
        </w:rPr>
        <w:lastRenderedPageBreak/>
        <w:t>Required Supplemental Information</w:t>
      </w:r>
      <w:bookmarkEnd w:id="42"/>
    </w:p>
    <w:p w14:paraId="6A357160" w14:textId="77777777" w:rsidR="003F6741" w:rsidRDefault="003F6741" w:rsidP="00D0793D"/>
    <w:p w14:paraId="1F4B5B66" w14:textId="77777777" w:rsidR="00561167" w:rsidRPr="007B5202" w:rsidRDefault="00561167" w:rsidP="00561167">
      <w:pPr>
        <w:rPr>
          <w:b/>
          <w:sz w:val="27"/>
          <w:szCs w:val="27"/>
        </w:rPr>
      </w:pPr>
      <w:r w:rsidRPr="007B5202">
        <w:rPr>
          <w:b/>
          <w:sz w:val="27"/>
          <w:szCs w:val="27"/>
        </w:rPr>
        <w:t>Pension Plan Information</w:t>
      </w:r>
    </w:p>
    <w:p w14:paraId="28FE24A2" w14:textId="77777777" w:rsidR="00561167" w:rsidRPr="007B5202" w:rsidRDefault="00561167" w:rsidP="00561167">
      <w:pPr>
        <w:rPr>
          <w:b/>
          <w:sz w:val="27"/>
          <w:szCs w:val="27"/>
        </w:rPr>
      </w:pPr>
    </w:p>
    <w:p w14:paraId="38D026C1" w14:textId="77777777" w:rsidR="00561167" w:rsidRPr="007B5202" w:rsidRDefault="00561167" w:rsidP="00561167">
      <w:pPr>
        <w:rPr>
          <w:b/>
          <w:sz w:val="27"/>
          <w:szCs w:val="27"/>
        </w:rPr>
      </w:pPr>
      <w:r w:rsidRPr="007B5202">
        <w:rPr>
          <w:b/>
          <w:sz w:val="27"/>
          <w:szCs w:val="27"/>
        </w:rPr>
        <w:t>Cost Sharing Employer Plans</w:t>
      </w:r>
    </w:p>
    <w:p w14:paraId="246B9407" w14:textId="77777777" w:rsidR="00561167" w:rsidRPr="007B5202" w:rsidRDefault="00561167" w:rsidP="00561167">
      <w:pPr>
        <w:rPr>
          <w:sz w:val="27"/>
          <w:szCs w:val="27"/>
        </w:rPr>
      </w:pPr>
      <w:r>
        <w:rPr>
          <w:sz w:val="27"/>
          <w:szCs w:val="27"/>
        </w:rPr>
        <w:t>Schedules of Skagit Valley</w:t>
      </w:r>
      <w:r w:rsidRPr="007B5202">
        <w:rPr>
          <w:sz w:val="27"/>
          <w:szCs w:val="27"/>
        </w:rPr>
        <w:t xml:space="preserve"> College’s Proportionate Share of the Net Pension Liability</w:t>
      </w:r>
    </w:p>
    <w:p w14:paraId="4E1AA92F" w14:textId="77777777" w:rsidR="00561167" w:rsidRPr="007B5202" w:rsidRDefault="00561167" w:rsidP="00561167">
      <w:pPr>
        <w:rPr>
          <w:sz w:val="27"/>
          <w:szCs w:val="27"/>
        </w:rPr>
      </w:pPr>
    </w:p>
    <w:p w14:paraId="6FD94557" w14:textId="77777777" w:rsidR="00561167" w:rsidRPr="007B5202" w:rsidRDefault="00561167" w:rsidP="00561167">
      <w:pPr>
        <w:rPr>
          <w:sz w:val="23"/>
          <w:szCs w:val="23"/>
        </w:rPr>
      </w:pPr>
    </w:p>
    <w:bookmarkStart w:id="43" w:name="_MON_1508655315"/>
    <w:bookmarkEnd w:id="43"/>
    <w:p w14:paraId="7D460F91" w14:textId="7F4F32CB" w:rsidR="00561167" w:rsidRPr="007B5202" w:rsidRDefault="00850B9B" w:rsidP="00561167">
      <w:pPr>
        <w:jc w:val="center"/>
        <w:rPr>
          <w:sz w:val="23"/>
          <w:szCs w:val="23"/>
        </w:rPr>
      </w:pPr>
      <w:r w:rsidRPr="007B5202">
        <w:rPr>
          <w:sz w:val="23"/>
          <w:szCs w:val="23"/>
        </w:rPr>
        <w:object w:dxaOrig="10570" w:dyaOrig="8729" w14:anchorId="7B93B57F">
          <v:shape id="_x0000_i1048" type="#_x0000_t75" style="width:465pt;height:384.75pt" o:ole="" o:bordertopcolor="this" o:borderleftcolor="this" o:borderbottomcolor="this" o:borderrightcolor="this">
            <v:imagedata r:id="rId71" o:title=""/>
            <w10:bordertop type="single" width="12"/>
            <w10:borderleft type="single" width="12"/>
            <w10:borderbottom type="single" width="12"/>
            <w10:borderright type="single" width="12"/>
          </v:shape>
          <o:OLEObject Type="Embed" ProgID="Excel.Sheet.12" ShapeID="_x0000_i1048" DrawAspect="Content" ObjectID="_1577870072" r:id="rId72"/>
        </w:object>
      </w:r>
    </w:p>
    <w:p w14:paraId="03D01C59" w14:textId="77777777" w:rsidR="00561167" w:rsidRPr="007B5202" w:rsidRDefault="00561167" w:rsidP="00561167">
      <w:pPr>
        <w:jc w:val="center"/>
        <w:rPr>
          <w:sz w:val="23"/>
          <w:szCs w:val="23"/>
        </w:rPr>
      </w:pPr>
    </w:p>
    <w:p w14:paraId="61DC40BF" w14:textId="77777777" w:rsidR="00561167" w:rsidRPr="007B5202" w:rsidRDefault="00561167" w:rsidP="00561167">
      <w:pPr>
        <w:rPr>
          <w:sz w:val="23"/>
          <w:szCs w:val="23"/>
        </w:rPr>
      </w:pPr>
      <w:r w:rsidRPr="007B5202">
        <w:rPr>
          <w:sz w:val="23"/>
          <w:szCs w:val="23"/>
        </w:rPr>
        <w:t>*These schedules are to be built prospectively until they contain 10 years of data.</w:t>
      </w:r>
    </w:p>
    <w:p w14:paraId="59ACC4FD" w14:textId="77777777" w:rsidR="00561167" w:rsidRPr="007B5202" w:rsidRDefault="00561167" w:rsidP="00561167">
      <w:pPr>
        <w:rPr>
          <w:sz w:val="23"/>
          <w:szCs w:val="23"/>
        </w:rPr>
      </w:pPr>
      <w:r w:rsidRPr="007B5202">
        <w:rPr>
          <w:sz w:val="23"/>
          <w:szCs w:val="23"/>
        </w:rPr>
        <w:br w:type="page"/>
      </w:r>
    </w:p>
    <w:p w14:paraId="540E0370" w14:textId="77777777" w:rsidR="00561167" w:rsidRPr="007B5202" w:rsidRDefault="00561167" w:rsidP="00561167">
      <w:pPr>
        <w:rPr>
          <w:b/>
          <w:sz w:val="27"/>
          <w:szCs w:val="27"/>
        </w:rPr>
      </w:pPr>
    </w:p>
    <w:p w14:paraId="38A6BE3F" w14:textId="77777777" w:rsidR="00561167" w:rsidRPr="007B5202" w:rsidRDefault="00561167" w:rsidP="00561167">
      <w:pPr>
        <w:rPr>
          <w:b/>
          <w:sz w:val="27"/>
          <w:szCs w:val="27"/>
        </w:rPr>
      </w:pPr>
      <w:r w:rsidRPr="007B5202">
        <w:rPr>
          <w:b/>
          <w:sz w:val="27"/>
          <w:szCs w:val="27"/>
        </w:rPr>
        <w:t>Cost Sharing Employer Plans</w:t>
      </w:r>
    </w:p>
    <w:p w14:paraId="6FDD5991" w14:textId="77777777" w:rsidR="00561167" w:rsidRPr="007B5202" w:rsidRDefault="00561167" w:rsidP="00561167">
      <w:pPr>
        <w:rPr>
          <w:sz w:val="27"/>
          <w:szCs w:val="27"/>
        </w:rPr>
      </w:pPr>
      <w:r>
        <w:rPr>
          <w:sz w:val="27"/>
          <w:szCs w:val="27"/>
        </w:rPr>
        <w:t>Schedules of Skagit Valley</w:t>
      </w:r>
      <w:r w:rsidRPr="007B5202">
        <w:rPr>
          <w:sz w:val="27"/>
          <w:szCs w:val="27"/>
        </w:rPr>
        <w:t xml:space="preserve"> College’s Proportionate Share of the Net Pension Liability</w:t>
      </w:r>
    </w:p>
    <w:p w14:paraId="19C1F1FC" w14:textId="77777777" w:rsidR="00561167" w:rsidRPr="007B5202" w:rsidRDefault="00561167" w:rsidP="00561167">
      <w:pPr>
        <w:rPr>
          <w:sz w:val="27"/>
          <w:szCs w:val="27"/>
        </w:rPr>
      </w:pPr>
    </w:p>
    <w:bookmarkStart w:id="44" w:name="_MON_1568725328"/>
    <w:bookmarkEnd w:id="44"/>
    <w:p w14:paraId="406D1003" w14:textId="44B27456" w:rsidR="00561167" w:rsidRPr="007B5202" w:rsidRDefault="00850B9B" w:rsidP="00561167">
      <w:pPr>
        <w:rPr>
          <w:sz w:val="27"/>
          <w:szCs w:val="27"/>
        </w:rPr>
      </w:pPr>
      <w:r w:rsidRPr="007B5202">
        <w:rPr>
          <w:sz w:val="23"/>
          <w:szCs w:val="23"/>
        </w:rPr>
        <w:object w:dxaOrig="10570" w:dyaOrig="8729" w14:anchorId="6CA6C3A4">
          <v:shape id="_x0000_i1049" type="#_x0000_t75" style="width:468.75pt;height:390pt" o:ole="" o:bordertopcolor="this" o:borderleftcolor="this" o:borderbottomcolor="this" o:borderrightcolor="this">
            <v:imagedata r:id="rId73" o:title=""/>
            <w10:bordertop type="single" width="12"/>
            <w10:borderleft type="single" width="12"/>
            <w10:borderbottom type="single" width="12"/>
            <w10:borderright type="single" width="12"/>
          </v:shape>
          <o:OLEObject Type="Embed" ProgID="Excel.Sheet.12" ShapeID="_x0000_i1049" DrawAspect="Content" ObjectID="_1577870073" r:id="rId74"/>
        </w:object>
      </w:r>
    </w:p>
    <w:p w14:paraId="330C1729" w14:textId="77777777" w:rsidR="00561167" w:rsidRPr="007B5202" w:rsidRDefault="00561167" w:rsidP="00561167">
      <w:pPr>
        <w:jc w:val="center"/>
        <w:rPr>
          <w:sz w:val="23"/>
          <w:szCs w:val="23"/>
        </w:rPr>
      </w:pPr>
    </w:p>
    <w:p w14:paraId="71E15217" w14:textId="77777777" w:rsidR="00561167" w:rsidRPr="007B5202" w:rsidRDefault="00561167" w:rsidP="00561167">
      <w:pPr>
        <w:jc w:val="center"/>
        <w:rPr>
          <w:sz w:val="23"/>
          <w:szCs w:val="23"/>
        </w:rPr>
      </w:pPr>
    </w:p>
    <w:p w14:paraId="6C172028" w14:textId="77777777" w:rsidR="00561167" w:rsidRPr="007B5202" w:rsidRDefault="00561167" w:rsidP="00561167">
      <w:pPr>
        <w:rPr>
          <w:sz w:val="23"/>
          <w:szCs w:val="23"/>
        </w:rPr>
      </w:pPr>
      <w:r w:rsidRPr="007B5202">
        <w:rPr>
          <w:sz w:val="23"/>
          <w:szCs w:val="23"/>
        </w:rPr>
        <w:t>*These schedules are to be built prospectively until they contain 10 years of data.</w:t>
      </w:r>
    </w:p>
    <w:p w14:paraId="4E399CA3" w14:textId="77777777" w:rsidR="00561167" w:rsidRPr="007B5202" w:rsidRDefault="00561167" w:rsidP="00561167">
      <w:pPr>
        <w:rPr>
          <w:sz w:val="23"/>
          <w:szCs w:val="23"/>
        </w:rPr>
      </w:pPr>
      <w:r w:rsidRPr="007B5202">
        <w:rPr>
          <w:sz w:val="23"/>
          <w:szCs w:val="23"/>
        </w:rPr>
        <w:br w:type="page"/>
      </w:r>
    </w:p>
    <w:p w14:paraId="133AE7AB" w14:textId="77777777" w:rsidR="00561167" w:rsidRPr="007B5202" w:rsidRDefault="00561167" w:rsidP="00561167">
      <w:pPr>
        <w:rPr>
          <w:b/>
          <w:sz w:val="27"/>
          <w:szCs w:val="27"/>
        </w:rPr>
      </w:pPr>
      <w:r w:rsidRPr="007B5202">
        <w:rPr>
          <w:b/>
          <w:sz w:val="27"/>
          <w:szCs w:val="27"/>
        </w:rPr>
        <w:lastRenderedPageBreak/>
        <w:t>Cost Sharing Employer Plans</w:t>
      </w:r>
    </w:p>
    <w:p w14:paraId="55D6456A" w14:textId="77777777" w:rsidR="00561167" w:rsidRPr="007B5202" w:rsidRDefault="00561167" w:rsidP="00561167">
      <w:pPr>
        <w:rPr>
          <w:sz w:val="27"/>
          <w:szCs w:val="27"/>
        </w:rPr>
      </w:pPr>
      <w:r>
        <w:rPr>
          <w:sz w:val="27"/>
          <w:szCs w:val="27"/>
        </w:rPr>
        <w:t>Schedules of Skagit Valley</w:t>
      </w:r>
      <w:r w:rsidRPr="007B5202">
        <w:rPr>
          <w:sz w:val="27"/>
          <w:szCs w:val="27"/>
        </w:rPr>
        <w:t xml:space="preserve"> College’s Proportionate Share of the Net Pension Liability</w:t>
      </w:r>
    </w:p>
    <w:p w14:paraId="1831D97D" w14:textId="77777777" w:rsidR="00561167" w:rsidRPr="007B5202" w:rsidRDefault="00561167" w:rsidP="00561167">
      <w:pPr>
        <w:rPr>
          <w:sz w:val="27"/>
          <w:szCs w:val="27"/>
        </w:rPr>
      </w:pPr>
    </w:p>
    <w:bookmarkStart w:id="45" w:name="_MON_1568725399"/>
    <w:bookmarkEnd w:id="45"/>
    <w:p w14:paraId="4B714C0D" w14:textId="11220D5B" w:rsidR="00561167" w:rsidRPr="007B5202" w:rsidRDefault="00850B9B" w:rsidP="00561167">
      <w:pPr>
        <w:rPr>
          <w:sz w:val="27"/>
          <w:szCs w:val="27"/>
        </w:rPr>
      </w:pPr>
      <w:r w:rsidRPr="007B5202">
        <w:rPr>
          <w:sz w:val="23"/>
          <w:szCs w:val="23"/>
        </w:rPr>
        <w:object w:dxaOrig="10570" w:dyaOrig="8729" w14:anchorId="54AC6A2E">
          <v:shape id="_x0000_i1050" type="#_x0000_t75" style="width:466.5pt;height:387.75pt" o:ole="" o:bordertopcolor="this" o:borderleftcolor="this" o:borderbottomcolor="this" o:borderrightcolor="this">
            <v:imagedata r:id="rId75" o:title=""/>
            <w10:bordertop type="single" width="12"/>
            <w10:borderleft type="single" width="12"/>
            <w10:borderbottom type="single" width="12"/>
            <w10:borderright type="single" width="12"/>
          </v:shape>
          <o:OLEObject Type="Embed" ProgID="Excel.Sheet.12" ShapeID="_x0000_i1050" DrawAspect="Content" ObjectID="_1577870074" r:id="rId76"/>
        </w:object>
      </w:r>
    </w:p>
    <w:p w14:paraId="547F7F0A" w14:textId="77777777" w:rsidR="00561167" w:rsidRPr="007B5202" w:rsidRDefault="00561167" w:rsidP="00561167">
      <w:pPr>
        <w:jc w:val="center"/>
        <w:rPr>
          <w:sz w:val="23"/>
          <w:szCs w:val="23"/>
        </w:rPr>
      </w:pPr>
    </w:p>
    <w:p w14:paraId="3A398730" w14:textId="77777777" w:rsidR="00561167" w:rsidRPr="007B5202" w:rsidRDefault="00561167" w:rsidP="00561167">
      <w:pPr>
        <w:jc w:val="center"/>
        <w:rPr>
          <w:sz w:val="23"/>
          <w:szCs w:val="23"/>
        </w:rPr>
      </w:pPr>
    </w:p>
    <w:p w14:paraId="4C040D23" w14:textId="77777777" w:rsidR="00561167" w:rsidRPr="007B5202" w:rsidRDefault="00561167" w:rsidP="00561167">
      <w:pPr>
        <w:rPr>
          <w:sz w:val="23"/>
          <w:szCs w:val="23"/>
        </w:rPr>
      </w:pPr>
      <w:r w:rsidRPr="007B5202">
        <w:rPr>
          <w:sz w:val="23"/>
          <w:szCs w:val="23"/>
        </w:rPr>
        <w:t>*These schedules are to be built prospectively until they contain 10 years of data.</w:t>
      </w:r>
    </w:p>
    <w:p w14:paraId="5278C33E" w14:textId="77777777" w:rsidR="00561167" w:rsidRPr="007B5202" w:rsidRDefault="00561167" w:rsidP="00561167">
      <w:pPr>
        <w:rPr>
          <w:sz w:val="23"/>
          <w:szCs w:val="23"/>
        </w:rPr>
      </w:pPr>
      <w:r w:rsidRPr="007B5202">
        <w:rPr>
          <w:sz w:val="23"/>
          <w:szCs w:val="23"/>
        </w:rPr>
        <w:br w:type="page"/>
      </w:r>
    </w:p>
    <w:p w14:paraId="7DE6FEF5" w14:textId="77777777" w:rsidR="00561167" w:rsidRPr="007B5202" w:rsidRDefault="00561167" w:rsidP="00561167">
      <w:pPr>
        <w:rPr>
          <w:b/>
          <w:sz w:val="27"/>
          <w:szCs w:val="27"/>
        </w:rPr>
      </w:pPr>
    </w:p>
    <w:p w14:paraId="21CFEA40" w14:textId="77777777" w:rsidR="00561167" w:rsidRPr="007B5202" w:rsidRDefault="00561167" w:rsidP="00561167">
      <w:pPr>
        <w:rPr>
          <w:b/>
          <w:sz w:val="27"/>
          <w:szCs w:val="27"/>
        </w:rPr>
      </w:pPr>
      <w:r w:rsidRPr="007B5202">
        <w:rPr>
          <w:b/>
          <w:sz w:val="27"/>
          <w:szCs w:val="27"/>
        </w:rPr>
        <w:t>Cost Sharing Employer Plans</w:t>
      </w:r>
    </w:p>
    <w:p w14:paraId="405A6CCC" w14:textId="77777777" w:rsidR="00561167" w:rsidRPr="007B5202" w:rsidRDefault="00561167" w:rsidP="00561167">
      <w:pPr>
        <w:rPr>
          <w:sz w:val="27"/>
          <w:szCs w:val="27"/>
        </w:rPr>
      </w:pPr>
      <w:r>
        <w:rPr>
          <w:sz w:val="27"/>
          <w:szCs w:val="27"/>
        </w:rPr>
        <w:t xml:space="preserve">Schedules of Skagit Valley </w:t>
      </w:r>
      <w:r w:rsidRPr="007B5202">
        <w:rPr>
          <w:sz w:val="27"/>
          <w:szCs w:val="27"/>
        </w:rPr>
        <w:t>College’s Proportionate Share of the Net Pension Liability</w:t>
      </w:r>
    </w:p>
    <w:p w14:paraId="680C95E3" w14:textId="77777777" w:rsidR="00561167" w:rsidRPr="007B5202" w:rsidRDefault="00561167" w:rsidP="00561167">
      <w:pPr>
        <w:rPr>
          <w:sz w:val="27"/>
          <w:szCs w:val="27"/>
        </w:rPr>
      </w:pPr>
    </w:p>
    <w:bookmarkStart w:id="46" w:name="_MON_1568725500"/>
    <w:bookmarkEnd w:id="46"/>
    <w:p w14:paraId="45DF261E" w14:textId="3B2F33C7" w:rsidR="00561167" w:rsidRPr="007B5202" w:rsidRDefault="00850B9B" w:rsidP="00561167">
      <w:pPr>
        <w:rPr>
          <w:sz w:val="27"/>
          <w:szCs w:val="27"/>
        </w:rPr>
      </w:pPr>
      <w:r w:rsidRPr="007B5202">
        <w:rPr>
          <w:sz w:val="23"/>
          <w:szCs w:val="23"/>
        </w:rPr>
        <w:object w:dxaOrig="10570" w:dyaOrig="8729" w14:anchorId="75724D6F">
          <v:shape id="_x0000_i1051" type="#_x0000_t75" style="width:463.5pt;height:384pt" o:ole="" o:bordertopcolor="this" o:borderleftcolor="this" o:borderbottomcolor="this" o:borderrightcolor="this">
            <v:imagedata r:id="rId77" o:title=""/>
            <w10:bordertop type="single" width="12"/>
            <w10:borderleft type="single" width="12"/>
            <w10:borderbottom type="single" width="12"/>
            <w10:borderright type="single" width="12"/>
          </v:shape>
          <o:OLEObject Type="Embed" ProgID="Excel.Sheet.12" ShapeID="_x0000_i1051" DrawAspect="Content" ObjectID="_1577870075" r:id="rId78"/>
        </w:object>
      </w:r>
    </w:p>
    <w:p w14:paraId="1CC62205" w14:textId="77777777" w:rsidR="00561167" w:rsidRPr="007B5202" w:rsidRDefault="00561167" w:rsidP="00561167">
      <w:pPr>
        <w:jc w:val="center"/>
        <w:rPr>
          <w:sz w:val="23"/>
          <w:szCs w:val="23"/>
        </w:rPr>
      </w:pPr>
    </w:p>
    <w:p w14:paraId="7813DA7A" w14:textId="77777777" w:rsidR="00561167" w:rsidRPr="007B5202" w:rsidRDefault="00561167" w:rsidP="00561167">
      <w:pPr>
        <w:jc w:val="center"/>
        <w:rPr>
          <w:sz w:val="27"/>
          <w:szCs w:val="27"/>
        </w:rPr>
      </w:pPr>
    </w:p>
    <w:p w14:paraId="2CB17128" w14:textId="77777777" w:rsidR="00561167" w:rsidRPr="007B5202" w:rsidRDefault="00561167" w:rsidP="00561167">
      <w:pPr>
        <w:rPr>
          <w:sz w:val="23"/>
          <w:szCs w:val="23"/>
        </w:rPr>
      </w:pPr>
      <w:r w:rsidRPr="007B5202">
        <w:rPr>
          <w:sz w:val="23"/>
          <w:szCs w:val="23"/>
        </w:rPr>
        <w:t>*These schedules are to be built prospectively until they contain 10 years of data.</w:t>
      </w:r>
    </w:p>
    <w:p w14:paraId="2E4EE8AB" w14:textId="77777777" w:rsidR="00561167" w:rsidRPr="007B5202" w:rsidRDefault="00561167" w:rsidP="00561167">
      <w:pPr>
        <w:rPr>
          <w:sz w:val="23"/>
          <w:szCs w:val="23"/>
        </w:rPr>
      </w:pPr>
      <w:r w:rsidRPr="007B5202">
        <w:rPr>
          <w:sz w:val="23"/>
          <w:szCs w:val="23"/>
        </w:rPr>
        <w:br w:type="page"/>
      </w:r>
    </w:p>
    <w:p w14:paraId="2440B97F" w14:textId="77777777" w:rsidR="00561167" w:rsidRPr="007B5202" w:rsidRDefault="00561167" w:rsidP="00561167">
      <w:pPr>
        <w:rPr>
          <w:b/>
          <w:sz w:val="27"/>
          <w:szCs w:val="27"/>
        </w:rPr>
      </w:pPr>
      <w:r w:rsidRPr="007B5202">
        <w:rPr>
          <w:b/>
          <w:sz w:val="27"/>
          <w:szCs w:val="27"/>
        </w:rPr>
        <w:lastRenderedPageBreak/>
        <w:t>Pension Plan Information</w:t>
      </w:r>
    </w:p>
    <w:p w14:paraId="6218FAA7" w14:textId="77777777" w:rsidR="00561167" w:rsidRPr="007B5202" w:rsidRDefault="00561167" w:rsidP="00561167">
      <w:pPr>
        <w:rPr>
          <w:b/>
          <w:sz w:val="27"/>
          <w:szCs w:val="27"/>
        </w:rPr>
      </w:pPr>
    </w:p>
    <w:p w14:paraId="7354B760" w14:textId="77777777" w:rsidR="00561167" w:rsidRPr="007B5202" w:rsidRDefault="00561167" w:rsidP="00561167">
      <w:pPr>
        <w:rPr>
          <w:b/>
          <w:sz w:val="27"/>
          <w:szCs w:val="27"/>
        </w:rPr>
      </w:pPr>
      <w:r w:rsidRPr="007B5202">
        <w:rPr>
          <w:b/>
          <w:sz w:val="27"/>
          <w:szCs w:val="27"/>
        </w:rPr>
        <w:t>Cost Sharing Employer Plans</w:t>
      </w:r>
    </w:p>
    <w:p w14:paraId="140BCE7F" w14:textId="77777777" w:rsidR="00561167" w:rsidRPr="007B5202" w:rsidRDefault="00561167" w:rsidP="00561167">
      <w:pPr>
        <w:rPr>
          <w:sz w:val="27"/>
          <w:szCs w:val="27"/>
        </w:rPr>
      </w:pPr>
      <w:r w:rsidRPr="007B5202">
        <w:rPr>
          <w:sz w:val="27"/>
          <w:szCs w:val="27"/>
        </w:rPr>
        <w:t>Schedules of Contributions</w:t>
      </w:r>
    </w:p>
    <w:p w14:paraId="23FD91EA" w14:textId="77777777" w:rsidR="00561167" w:rsidRPr="007B5202" w:rsidRDefault="00561167" w:rsidP="00561167">
      <w:pPr>
        <w:rPr>
          <w:sz w:val="27"/>
          <w:szCs w:val="27"/>
        </w:rPr>
      </w:pPr>
    </w:p>
    <w:p w14:paraId="51D38530" w14:textId="77777777" w:rsidR="00561167" w:rsidRPr="007B5202" w:rsidRDefault="00561167" w:rsidP="00561167">
      <w:pPr>
        <w:rPr>
          <w:sz w:val="23"/>
          <w:szCs w:val="23"/>
        </w:rPr>
      </w:pPr>
    </w:p>
    <w:bookmarkStart w:id="47" w:name="_MON_1508652652"/>
    <w:bookmarkEnd w:id="47"/>
    <w:p w14:paraId="3AA971B5" w14:textId="54B6A584" w:rsidR="00561167" w:rsidRPr="007B5202" w:rsidRDefault="00D446A9" w:rsidP="00561167">
      <w:pPr>
        <w:rPr>
          <w:sz w:val="23"/>
          <w:szCs w:val="23"/>
        </w:rPr>
      </w:pPr>
      <w:r w:rsidRPr="007B5202">
        <w:rPr>
          <w:sz w:val="23"/>
          <w:szCs w:val="23"/>
        </w:rPr>
        <w:object w:dxaOrig="9363" w:dyaOrig="9874" w14:anchorId="3D119CA7">
          <v:shape id="_x0000_i1052" type="#_x0000_t75" style="width:447.75pt;height:473.25pt" o:ole="" o:bordertopcolor="this" o:borderleftcolor="this" o:borderbottomcolor="this" o:borderrightcolor="this">
            <v:imagedata r:id="rId79" o:title=""/>
            <w10:bordertop type="single" width="12"/>
            <w10:borderleft type="single" width="12"/>
            <w10:borderbottom type="single" width="12"/>
            <w10:borderright type="single" width="12"/>
          </v:shape>
          <o:OLEObject Type="Embed" ProgID="Excel.Sheet.12" ShapeID="_x0000_i1052" DrawAspect="Content" ObjectID="_1577870076" r:id="rId80"/>
        </w:object>
      </w:r>
    </w:p>
    <w:p w14:paraId="2D6B45FB" w14:textId="1ECCC605" w:rsidR="00561167" w:rsidRDefault="00561167" w:rsidP="00561167">
      <w:pPr>
        <w:rPr>
          <w:sz w:val="23"/>
          <w:szCs w:val="23"/>
        </w:rPr>
      </w:pPr>
      <w:r w:rsidRPr="007B5202">
        <w:rPr>
          <w:sz w:val="23"/>
          <w:szCs w:val="23"/>
        </w:rPr>
        <w:t>Notes: These schedules will be built prospectively until they contain 10 years of data.</w:t>
      </w:r>
    </w:p>
    <w:p w14:paraId="30D575C0" w14:textId="77777777" w:rsidR="00361D72" w:rsidRPr="00361D72" w:rsidRDefault="00361D72" w:rsidP="00561167">
      <w:pPr>
        <w:rPr>
          <w:sz w:val="23"/>
          <w:szCs w:val="23"/>
        </w:rPr>
      </w:pPr>
    </w:p>
    <w:p w14:paraId="0768675C" w14:textId="77777777" w:rsidR="00561167" w:rsidRPr="007B5202" w:rsidRDefault="00561167" w:rsidP="00561167">
      <w:pPr>
        <w:rPr>
          <w:b/>
          <w:sz w:val="27"/>
          <w:szCs w:val="27"/>
        </w:rPr>
      </w:pPr>
      <w:r w:rsidRPr="007B5202">
        <w:rPr>
          <w:b/>
          <w:sz w:val="27"/>
          <w:szCs w:val="27"/>
        </w:rPr>
        <w:t>Cost Sharing Employer Plans</w:t>
      </w:r>
    </w:p>
    <w:p w14:paraId="4B51D83D" w14:textId="77777777" w:rsidR="00561167" w:rsidRPr="007B5202" w:rsidRDefault="00561167" w:rsidP="00561167">
      <w:pPr>
        <w:rPr>
          <w:sz w:val="27"/>
          <w:szCs w:val="27"/>
        </w:rPr>
      </w:pPr>
      <w:r w:rsidRPr="007B5202">
        <w:rPr>
          <w:sz w:val="27"/>
          <w:szCs w:val="27"/>
        </w:rPr>
        <w:t>Schedules of Contributions</w:t>
      </w:r>
    </w:p>
    <w:p w14:paraId="1DE16F42" w14:textId="77777777" w:rsidR="00561167" w:rsidRPr="007B5202" w:rsidRDefault="00561167" w:rsidP="00561167">
      <w:pPr>
        <w:rPr>
          <w:sz w:val="27"/>
          <w:szCs w:val="27"/>
        </w:rPr>
      </w:pPr>
    </w:p>
    <w:p w14:paraId="6C75FB4F" w14:textId="77777777" w:rsidR="00561167" w:rsidRPr="007B5202" w:rsidRDefault="00561167" w:rsidP="00561167">
      <w:pPr>
        <w:rPr>
          <w:sz w:val="23"/>
          <w:szCs w:val="23"/>
        </w:rPr>
      </w:pPr>
    </w:p>
    <w:bookmarkStart w:id="48" w:name="_MON_1508653517"/>
    <w:bookmarkEnd w:id="48"/>
    <w:p w14:paraId="0536F8B8" w14:textId="5D93C387" w:rsidR="00561167" w:rsidRPr="007B5202" w:rsidRDefault="006D4B3C" w:rsidP="00561167">
      <w:pPr>
        <w:rPr>
          <w:sz w:val="23"/>
          <w:szCs w:val="23"/>
        </w:rPr>
      </w:pPr>
      <w:r w:rsidRPr="007B5202">
        <w:rPr>
          <w:sz w:val="23"/>
          <w:szCs w:val="23"/>
        </w:rPr>
        <w:object w:dxaOrig="9363" w:dyaOrig="9874" w14:anchorId="67B379EC">
          <v:shape id="_x0000_i1053" type="#_x0000_t75" style="width:468pt;height:493.5pt" o:ole="" o:bordertopcolor="this" o:borderleftcolor="this" o:borderbottomcolor="this" o:borderrightcolor="this">
            <v:imagedata r:id="rId81" o:title=""/>
            <w10:bordertop type="single" width="12"/>
            <w10:borderleft type="single" width="12"/>
            <w10:borderbottom type="single" width="12"/>
            <w10:borderright type="single" width="12"/>
          </v:shape>
          <o:OLEObject Type="Embed" ProgID="Excel.Sheet.12" ShapeID="_x0000_i1053" DrawAspect="Content" ObjectID="_1577870077" r:id="rId82"/>
        </w:object>
      </w:r>
    </w:p>
    <w:p w14:paraId="52B8508C" w14:textId="330920D0" w:rsidR="00561167" w:rsidRPr="002D6B1C" w:rsidRDefault="00561167" w:rsidP="00561167">
      <w:pPr>
        <w:rPr>
          <w:sz w:val="23"/>
          <w:szCs w:val="23"/>
        </w:rPr>
      </w:pPr>
      <w:r w:rsidRPr="007B5202">
        <w:rPr>
          <w:sz w:val="23"/>
          <w:szCs w:val="23"/>
        </w:rPr>
        <w:lastRenderedPageBreak/>
        <w:t>Notes: These schedules will be built prospectively unti</w:t>
      </w:r>
      <w:r w:rsidR="00361D72">
        <w:rPr>
          <w:sz w:val="23"/>
          <w:szCs w:val="23"/>
        </w:rPr>
        <w:t>l they contain 10 years of data</w:t>
      </w:r>
    </w:p>
    <w:p w14:paraId="03F6E7B3" w14:textId="77777777" w:rsidR="00561167" w:rsidRPr="007B5202" w:rsidRDefault="00561167" w:rsidP="00561167">
      <w:pPr>
        <w:rPr>
          <w:b/>
          <w:sz w:val="27"/>
          <w:szCs w:val="27"/>
        </w:rPr>
      </w:pPr>
      <w:r w:rsidRPr="007B5202">
        <w:rPr>
          <w:b/>
          <w:sz w:val="27"/>
          <w:szCs w:val="27"/>
        </w:rPr>
        <w:t>Cost Sharing Employer Plans</w:t>
      </w:r>
    </w:p>
    <w:p w14:paraId="32237387" w14:textId="77777777" w:rsidR="00561167" w:rsidRPr="007B5202" w:rsidRDefault="00561167" w:rsidP="00561167">
      <w:pPr>
        <w:rPr>
          <w:sz w:val="27"/>
          <w:szCs w:val="27"/>
        </w:rPr>
      </w:pPr>
      <w:r w:rsidRPr="007B5202">
        <w:rPr>
          <w:sz w:val="27"/>
          <w:szCs w:val="27"/>
        </w:rPr>
        <w:t>Schedules of Contributions</w:t>
      </w:r>
    </w:p>
    <w:p w14:paraId="34211335" w14:textId="15E397E2" w:rsidR="00561167" w:rsidRPr="007B5202" w:rsidRDefault="00561167" w:rsidP="00561167">
      <w:pPr>
        <w:rPr>
          <w:sz w:val="23"/>
          <w:szCs w:val="23"/>
        </w:rPr>
      </w:pPr>
    </w:p>
    <w:bookmarkStart w:id="49" w:name="_MON_1508653538"/>
    <w:bookmarkEnd w:id="49"/>
    <w:p w14:paraId="17935CB2" w14:textId="0FEE3CE8" w:rsidR="00561167" w:rsidRPr="002D6B1C" w:rsidRDefault="009A2EE4" w:rsidP="00561167">
      <w:pPr>
        <w:rPr>
          <w:sz w:val="23"/>
          <w:szCs w:val="23"/>
        </w:rPr>
      </w:pPr>
      <w:r w:rsidRPr="007B5202">
        <w:rPr>
          <w:sz w:val="23"/>
          <w:szCs w:val="23"/>
        </w:rPr>
        <w:object w:dxaOrig="8730" w:dyaOrig="10200" w14:anchorId="6B5948F8">
          <v:shape id="_x0000_i1054" type="#_x0000_t75" style="width:436.5pt;height:510pt" o:ole="" o:bordertopcolor="this" o:borderleftcolor="this" o:borderbottomcolor="this" o:borderrightcolor="this">
            <v:imagedata r:id="rId83" o:title=""/>
            <w10:bordertop type="single" width="12"/>
            <w10:borderleft type="single" width="12"/>
            <w10:borderbottom type="single" width="12"/>
            <w10:borderright type="single" width="12"/>
          </v:shape>
          <o:OLEObject Type="Embed" ProgID="Excel.Sheet.12" ShapeID="_x0000_i1054" DrawAspect="Content" ObjectID="_1577870078" r:id="rId84"/>
        </w:object>
      </w:r>
    </w:p>
    <w:p w14:paraId="0F005834" w14:textId="77777777" w:rsidR="002D6B1C" w:rsidRPr="00361D72" w:rsidRDefault="002D6B1C" w:rsidP="002D6B1C">
      <w:pPr>
        <w:rPr>
          <w:sz w:val="23"/>
          <w:szCs w:val="23"/>
        </w:rPr>
      </w:pPr>
      <w:r w:rsidRPr="007B5202">
        <w:rPr>
          <w:sz w:val="23"/>
          <w:szCs w:val="23"/>
        </w:rPr>
        <w:t>Notes: These schedules will be built prospectively until they contain 10 years of data.</w:t>
      </w:r>
    </w:p>
    <w:p w14:paraId="0B57DB81" w14:textId="77777777" w:rsidR="00561167" w:rsidRPr="007B5202" w:rsidRDefault="00561167" w:rsidP="00561167">
      <w:pPr>
        <w:rPr>
          <w:b/>
          <w:sz w:val="27"/>
          <w:szCs w:val="27"/>
        </w:rPr>
      </w:pPr>
      <w:r w:rsidRPr="007B5202">
        <w:rPr>
          <w:b/>
          <w:sz w:val="27"/>
          <w:szCs w:val="27"/>
        </w:rPr>
        <w:lastRenderedPageBreak/>
        <w:t>Cost Sharing Employer Plans</w:t>
      </w:r>
    </w:p>
    <w:p w14:paraId="448C983D" w14:textId="77777777" w:rsidR="00561167" w:rsidRPr="007B5202" w:rsidRDefault="00561167" w:rsidP="00561167">
      <w:pPr>
        <w:rPr>
          <w:sz w:val="27"/>
          <w:szCs w:val="27"/>
        </w:rPr>
      </w:pPr>
      <w:r w:rsidRPr="007B5202">
        <w:rPr>
          <w:sz w:val="27"/>
          <w:szCs w:val="27"/>
        </w:rPr>
        <w:t>Schedules of Contributions</w:t>
      </w:r>
    </w:p>
    <w:p w14:paraId="3C2891DF" w14:textId="2256F230" w:rsidR="00561167" w:rsidRPr="007B5202" w:rsidRDefault="00561167" w:rsidP="00561167">
      <w:pPr>
        <w:rPr>
          <w:sz w:val="23"/>
          <w:szCs w:val="23"/>
        </w:rPr>
      </w:pPr>
    </w:p>
    <w:bookmarkStart w:id="50" w:name="_MON_1508653669"/>
    <w:bookmarkEnd w:id="50"/>
    <w:p w14:paraId="7B70EABB" w14:textId="3C570E08" w:rsidR="00561167" w:rsidRPr="007B5202" w:rsidRDefault="009A2EE4" w:rsidP="00561167">
      <w:pPr>
        <w:rPr>
          <w:sz w:val="23"/>
          <w:szCs w:val="23"/>
        </w:rPr>
      </w:pPr>
      <w:r w:rsidRPr="007B5202">
        <w:rPr>
          <w:sz w:val="23"/>
          <w:szCs w:val="23"/>
        </w:rPr>
        <w:object w:dxaOrig="9363" w:dyaOrig="9874" w14:anchorId="5B51440F">
          <v:shape id="_x0000_i1055" type="#_x0000_t75" style="width:468pt;height:493.5pt" o:ole="" o:bordertopcolor="this" o:borderleftcolor="this" o:borderbottomcolor="this" o:borderrightcolor="this">
            <v:imagedata r:id="rId85" o:title=""/>
            <w10:bordertop type="single" width="12"/>
            <w10:borderleft type="single" width="12"/>
            <w10:borderbottom type="single" width="12"/>
            <w10:borderright type="single" width="12"/>
          </v:shape>
          <o:OLEObject Type="Embed" ProgID="Excel.Sheet.12" ShapeID="_x0000_i1055" DrawAspect="Content" ObjectID="_1577870079" r:id="rId86"/>
        </w:object>
      </w:r>
    </w:p>
    <w:p w14:paraId="35E9F627" w14:textId="1E253904" w:rsidR="003F6741" w:rsidRDefault="00561167" w:rsidP="00561167">
      <w:pPr>
        <w:rPr>
          <w:sz w:val="23"/>
          <w:szCs w:val="23"/>
        </w:rPr>
      </w:pPr>
      <w:r w:rsidRPr="007B5202">
        <w:rPr>
          <w:sz w:val="23"/>
          <w:szCs w:val="23"/>
        </w:rPr>
        <w:t>Notes: These schedules will be built prospectively until they contain 10 years of da</w:t>
      </w:r>
      <w:r w:rsidR="00B20EFC">
        <w:rPr>
          <w:sz w:val="23"/>
          <w:szCs w:val="23"/>
        </w:rPr>
        <w:t>ta.</w:t>
      </w:r>
    </w:p>
    <w:p w14:paraId="150918EF" w14:textId="7961927F" w:rsidR="00B20EFC" w:rsidRDefault="00B20EFC" w:rsidP="00561167">
      <w:pPr>
        <w:rPr>
          <w:sz w:val="23"/>
          <w:szCs w:val="23"/>
        </w:rPr>
      </w:pPr>
    </w:p>
    <w:p w14:paraId="2F3DFDA9" w14:textId="0CAB9018" w:rsidR="00B20EFC" w:rsidRDefault="00B20EFC" w:rsidP="00561167"/>
    <w:p w14:paraId="0E638BCF" w14:textId="77777777" w:rsidR="00B20EFC" w:rsidRDefault="00B20EFC" w:rsidP="00B20EFC">
      <w:pPr>
        <w:keepNext/>
        <w:outlineLvl w:val="0"/>
        <w:rPr>
          <w:rFonts w:ascii="Cambria" w:hAnsi="Cambria" w:cs="Arial"/>
          <w:b/>
          <w:bCs/>
          <w:kern w:val="32"/>
          <w:szCs w:val="32"/>
        </w:rPr>
      </w:pPr>
      <w:r>
        <w:rPr>
          <w:rFonts w:ascii="Cambria" w:hAnsi="Cambria" w:cs="Arial"/>
          <w:b/>
          <w:bCs/>
          <w:kern w:val="32"/>
          <w:szCs w:val="32"/>
        </w:rPr>
        <w:t>State Board Supplemental Defined Benefit Plans</w:t>
      </w:r>
      <w:r>
        <w:rPr>
          <w:rFonts w:ascii="Cambria" w:hAnsi="Cambria" w:cs="Arial"/>
          <w:b/>
          <w:bCs/>
          <w:kern w:val="32"/>
          <w:szCs w:val="32"/>
        </w:rPr>
        <w:br/>
      </w:r>
    </w:p>
    <w:p w14:paraId="2CC3AF87" w14:textId="4B1C972D" w:rsidR="00B20EFC" w:rsidRDefault="00B20EFC" w:rsidP="00561167"/>
    <w:bookmarkStart w:id="51" w:name="_MON_1572099536"/>
    <w:bookmarkEnd w:id="51"/>
    <w:p w14:paraId="22E06720" w14:textId="776B7A8C" w:rsidR="00B20EFC" w:rsidRDefault="00236FC9" w:rsidP="00561167">
      <w:r>
        <w:object w:dxaOrig="9329" w:dyaOrig="6787" w14:anchorId="25D37D03">
          <v:shape id="_x0000_i1056" type="#_x0000_t75" style="width:466.5pt;height:339pt" o:ole="">
            <v:imagedata r:id="rId87" o:title=""/>
          </v:shape>
          <o:OLEObject Type="Embed" ProgID="Excel.Sheet.12" ShapeID="_x0000_i1056" DrawAspect="Content" ObjectID="_1577870080" r:id="rId88"/>
        </w:object>
      </w:r>
    </w:p>
    <w:p w14:paraId="367A1E11" w14:textId="77777777" w:rsidR="007F7440" w:rsidRPr="007B5202" w:rsidRDefault="007F7440" w:rsidP="007F7440">
      <w:pPr>
        <w:rPr>
          <w:sz w:val="23"/>
          <w:szCs w:val="23"/>
        </w:rPr>
      </w:pPr>
      <w:r w:rsidRPr="007B5202">
        <w:rPr>
          <w:sz w:val="23"/>
          <w:szCs w:val="23"/>
        </w:rPr>
        <w:t>Notes: These schedules will be built prospectively until they contain 10 years of data.</w:t>
      </w:r>
    </w:p>
    <w:p w14:paraId="081B16DA" w14:textId="046F6B23" w:rsidR="007F7440" w:rsidRDefault="007F7440" w:rsidP="00561167"/>
    <w:p w14:paraId="416DC3F7" w14:textId="77777777" w:rsidR="007F7440" w:rsidRDefault="007F7440" w:rsidP="00561167"/>
    <w:p w14:paraId="4B0F3B11" w14:textId="77777777" w:rsidR="007F7440" w:rsidRPr="00B949E4" w:rsidRDefault="007F7440" w:rsidP="007F7440">
      <w:pPr>
        <w:keepNext/>
        <w:outlineLvl w:val="0"/>
        <w:rPr>
          <w:rFonts w:ascii="Cambria" w:hAnsi="Cambria" w:cs="Arial"/>
          <w:b/>
          <w:bCs/>
          <w:kern w:val="32"/>
          <w:szCs w:val="32"/>
        </w:rPr>
      </w:pPr>
      <w:r>
        <w:rPr>
          <w:rFonts w:ascii="Cambria" w:hAnsi="Cambria" w:cs="Arial"/>
          <w:b/>
          <w:bCs/>
          <w:kern w:val="32"/>
          <w:szCs w:val="32"/>
        </w:rPr>
        <w:t xml:space="preserve">State Board </w:t>
      </w:r>
      <w:r w:rsidRPr="00222B85">
        <w:rPr>
          <w:rFonts w:ascii="Cambria" w:hAnsi="Cambria" w:cs="Arial"/>
          <w:b/>
          <w:bCs/>
          <w:kern w:val="32"/>
          <w:szCs w:val="32"/>
        </w:rPr>
        <w:t>Supplemental Defined Benefit Plans</w:t>
      </w:r>
    </w:p>
    <w:p w14:paraId="34ADEA00" w14:textId="0205047A" w:rsidR="007F7440" w:rsidRDefault="007F7440" w:rsidP="007F7440">
      <w:pPr>
        <w:rPr>
          <w:rFonts w:ascii="Cambria" w:hAnsi="Cambria" w:cs="Arial"/>
          <w:b/>
          <w:bCs/>
          <w:kern w:val="32"/>
          <w:szCs w:val="32"/>
        </w:rPr>
      </w:pPr>
      <w:r w:rsidRPr="00AB11E6">
        <w:rPr>
          <w:rFonts w:ascii="Cambria" w:hAnsi="Cambria" w:cs="Arial"/>
          <w:b/>
          <w:bCs/>
          <w:kern w:val="32"/>
          <w:szCs w:val="32"/>
        </w:rPr>
        <w:t>Notes to Required Supplementary Information</w:t>
      </w:r>
    </w:p>
    <w:p w14:paraId="15897DBC" w14:textId="0DBF38E3" w:rsidR="007F7440" w:rsidRDefault="007F7440" w:rsidP="007F7440">
      <w:pPr>
        <w:rPr>
          <w:rFonts w:ascii="Cambria" w:hAnsi="Cambria" w:cs="Arial"/>
          <w:b/>
          <w:bCs/>
          <w:kern w:val="32"/>
          <w:szCs w:val="32"/>
        </w:rPr>
      </w:pPr>
    </w:p>
    <w:p w14:paraId="7BF61F73" w14:textId="3C59A356" w:rsidR="007F7440" w:rsidRPr="00D0793D" w:rsidRDefault="00236FC9" w:rsidP="007F7440">
      <w:r>
        <w:rPr>
          <w:szCs w:val="20"/>
        </w:rPr>
        <w:t xml:space="preserve">The State Board Supplemental Retirement Plans are </w:t>
      </w:r>
      <w:r w:rsidRPr="00255AF9">
        <w:rPr>
          <w:szCs w:val="20"/>
        </w:rPr>
        <w:t>financed on a pay-as-you-go basis. State</w:t>
      </w:r>
      <w:r>
        <w:rPr>
          <w:szCs w:val="20"/>
        </w:rPr>
        <w:t xml:space="preserve"> Board</w:t>
      </w:r>
      <w:r w:rsidRPr="00255AF9">
        <w:rPr>
          <w:szCs w:val="20"/>
        </w:rPr>
        <w:t xml:space="preserve"> make</w:t>
      </w:r>
      <w:r>
        <w:rPr>
          <w:szCs w:val="20"/>
        </w:rPr>
        <w:t>s</w:t>
      </w:r>
      <w:r w:rsidRPr="00255AF9">
        <w:rPr>
          <w:szCs w:val="20"/>
        </w:rPr>
        <w:t xml:space="preserve"> direct payments to qualifying retirees when the retirement benefits provided by the fund sponsors do not meet the benefit goals</w:t>
      </w:r>
      <w:r>
        <w:rPr>
          <w:szCs w:val="20"/>
        </w:rPr>
        <w:t>, no assets are accumulated in trusts or equivalent arrangements</w:t>
      </w:r>
      <w:r w:rsidRPr="00255AF9">
        <w:rPr>
          <w:szCs w:val="20"/>
        </w:rPr>
        <w:t xml:space="preserve">. </w:t>
      </w:r>
      <w:r>
        <w:rPr>
          <w:szCs w:val="20"/>
        </w:rPr>
        <w:t>Potential factors that may significantly affect trends in amounts reported include changes to the discount rate, salary growth and the variable income investment return.</w:t>
      </w:r>
    </w:p>
    <w:sectPr w:rsidR="007F7440" w:rsidRPr="00D0793D" w:rsidSect="00946F01">
      <w:footerReference w:type="default" r:id="rId89"/>
      <w:pgSz w:w="12240" w:h="15840"/>
      <w:pgMar w:top="1440" w:right="1440" w:bottom="1440" w:left="1440" w:header="720" w:footer="720" w:gutter="0"/>
      <w:pgBorders w:offsetFrom="page">
        <w:top w:val="single" w:sz="24" w:space="24" w:color="A6192E" w:shadow="1"/>
        <w:left w:val="single" w:sz="24" w:space="24" w:color="A6192E" w:shadow="1"/>
        <w:bottom w:val="single" w:sz="24" w:space="24" w:color="A6192E" w:shadow="1"/>
        <w:right w:val="single" w:sz="24" w:space="24" w:color="A6192E" w:shadow="1"/>
      </w:pgBorders>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Denise Nguyen" w:date="2016-06-30T09:55:00Z" w:initials="DN">
    <w:p w14:paraId="0EDEB4D1" w14:textId="77777777" w:rsidR="00AD7535" w:rsidRDefault="00AD7535" w:rsidP="00561167">
      <w:pPr>
        <w:pStyle w:val="CommentText"/>
      </w:pPr>
      <w:r>
        <w:rPr>
          <w:rStyle w:val="CommentReference"/>
        </w:rPr>
        <w:annotationRef/>
      </w:r>
      <w:r>
        <w:t>Revised 2/17/16</w:t>
      </w:r>
    </w:p>
  </w:comment>
  <w:comment w:id="28" w:author="Denise Nguyen" w:date="2016-11-28T07:59:00Z" w:initials="DN">
    <w:p w14:paraId="10CB6AE7" w14:textId="77777777" w:rsidR="00AD7535" w:rsidRDefault="00AD7535" w:rsidP="00561167">
      <w:pPr>
        <w:pStyle w:val="CommentText"/>
      </w:pPr>
      <w:r>
        <w:rPr>
          <w:rStyle w:val="CommentReference"/>
        </w:rPr>
        <w:annotationRef/>
      </w:r>
      <w:r>
        <w:t>be sure to list all long term debt (including compensated absences).</w:t>
      </w:r>
    </w:p>
  </w:comment>
  <w:comment w:id="33" w:author="Denise Nguyen" w:date="2016-12-08T09:44:00Z" w:initials="DN">
    <w:p w14:paraId="66D0E380" w14:textId="77777777" w:rsidR="00AD7535" w:rsidRDefault="00AD7535" w:rsidP="00561167">
      <w:pPr>
        <w:pStyle w:val="CommentText"/>
      </w:pPr>
      <w:r>
        <w:rPr>
          <w:rStyle w:val="CommentReference"/>
        </w:rPr>
        <w:annotationRef/>
      </w:r>
      <w:r>
        <w:t>DRS FY15 CAFR  p.91</w:t>
      </w:r>
    </w:p>
  </w:comment>
  <w:comment w:id="35" w:author="Denise Nguyen" w:date="2016-12-08T09:49:00Z" w:initials="DN">
    <w:p w14:paraId="76B49F8E" w14:textId="77777777" w:rsidR="00AD7535" w:rsidRDefault="00AD7535" w:rsidP="00561167">
      <w:pPr>
        <w:pStyle w:val="CommentText"/>
      </w:pPr>
      <w:r>
        <w:rPr>
          <w:rStyle w:val="CommentReference"/>
        </w:rPr>
        <w:annotationRef/>
      </w:r>
      <w:r>
        <w:t>DRS PEFI FY15 p.67</w:t>
      </w:r>
    </w:p>
  </w:comment>
  <w:comment w:id="37" w:author="Denise Nguyen" w:date="2016-06-30T09:55:00Z" w:initials="DN">
    <w:p w14:paraId="142B3976" w14:textId="77777777" w:rsidR="00AD7535" w:rsidRDefault="00AD7535" w:rsidP="00561167">
      <w:pPr>
        <w:pStyle w:val="CommentText"/>
      </w:pPr>
      <w:r>
        <w:rPr>
          <w:rStyle w:val="CommentReference"/>
        </w:rPr>
        <w:annotationRef/>
      </w:r>
      <w:r w:rsidRPr="00811FEB">
        <w:t xml:space="preserve"> Total expense here should match with total expense reported above under Aggregate Pension Amount</w:t>
      </w:r>
    </w:p>
  </w:comment>
  <w:comment w:id="38" w:author="Denise Nguyen" w:date="2016-12-08T09:49:00Z" w:initials="DN">
    <w:p w14:paraId="0A5A06AC" w14:textId="77777777" w:rsidR="00AD7535" w:rsidRDefault="00AD7535" w:rsidP="00561167">
      <w:pPr>
        <w:pStyle w:val="CommentText"/>
      </w:pPr>
      <w:r>
        <w:rPr>
          <w:rStyle w:val="CommentReference"/>
        </w:rPr>
        <w:annotationRef/>
      </w:r>
      <w:r>
        <w:t>DRS CAFR FY15 P.66</w:t>
      </w:r>
    </w:p>
  </w:comment>
  <w:comment w:id="39" w:author="Denise Nguyen" w:date="2016-06-30T09:55:00Z" w:initials="DN">
    <w:p w14:paraId="3ABEA02B" w14:textId="77777777" w:rsidR="00AD7535" w:rsidRDefault="00AD7535" w:rsidP="00561167">
      <w:pPr>
        <w:pStyle w:val="CommentText"/>
      </w:pPr>
      <w:r>
        <w:rPr>
          <w:rStyle w:val="CommentReference"/>
        </w:rPr>
        <w:annotationRef/>
      </w:r>
      <w:r>
        <w:t>Added on 3/1/16</w:t>
      </w:r>
    </w:p>
  </w:comment>
  <w:comment w:id="40" w:author="Denise Nguyen" w:date="2017-10-12T12:08:00Z" w:initials="DN">
    <w:p w14:paraId="3E13677D" w14:textId="77777777" w:rsidR="00AD7535" w:rsidRDefault="00AD7535" w:rsidP="00561167">
      <w:pPr>
        <w:pStyle w:val="CommentText"/>
      </w:pPr>
      <w:r>
        <w:rPr>
          <w:rStyle w:val="CommentReference"/>
        </w:rPr>
        <w:annotationRef/>
      </w:r>
      <w:r>
        <w:rPr>
          <w:noProof/>
        </w:rPr>
        <w:t>College needs to multiply all these amounts by your proportionate share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DEB4D1" w15:done="0"/>
  <w15:commentEx w15:paraId="10CB6AE7" w15:done="0"/>
  <w15:commentEx w15:paraId="66D0E380" w15:done="0"/>
  <w15:commentEx w15:paraId="76B49F8E" w15:done="0"/>
  <w15:commentEx w15:paraId="142B3976" w15:done="0"/>
  <w15:commentEx w15:paraId="0A5A06AC" w15:done="0"/>
  <w15:commentEx w15:paraId="3ABEA02B" w15:done="0"/>
  <w15:commentEx w15:paraId="3E13677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76770A" w14:textId="77777777" w:rsidR="00AB0BB0" w:rsidRDefault="00AB0BB0" w:rsidP="005040A1">
      <w:r>
        <w:separator/>
      </w:r>
    </w:p>
  </w:endnote>
  <w:endnote w:type="continuationSeparator" w:id="0">
    <w:p w14:paraId="236D710D" w14:textId="77777777" w:rsidR="00AB0BB0" w:rsidRDefault="00AB0BB0" w:rsidP="00504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tone Serif">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6683E" w14:textId="77777777" w:rsidR="00AD7535" w:rsidRDefault="00AD7535" w:rsidP="00CC5807">
    <w:pPr>
      <w:pStyle w:val="Footer"/>
      <w:jc w:val="center"/>
    </w:pPr>
    <w:r>
      <w:rPr>
        <w:noProof/>
      </w:rPr>
      <mc:AlternateContent>
        <mc:Choice Requires="wps">
          <w:drawing>
            <wp:anchor distT="182880" distB="182880" distL="114300" distR="114300" simplePos="0" relativeHeight="251659264" behindDoc="0" locked="0" layoutInCell="1" allowOverlap="0" wp14:anchorId="499F7251" wp14:editId="04F1744E">
              <wp:simplePos x="0" y="0"/>
              <wp:positionH relativeFrom="page">
                <wp:posOffset>914400</wp:posOffset>
              </wp:positionH>
              <wp:positionV relativeFrom="page">
                <wp:posOffset>9464675</wp:posOffset>
              </wp:positionV>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6"/>
                            <w:gridCol w:w="8696"/>
                            <w:gridCol w:w="468"/>
                          </w:tblGrid>
                          <w:tr w:rsidR="00AD7535" w14:paraId="1CB3D9F1" w14:textId="77777777" w:rsidTr="00946F01">
                            <w:trPr>
                              <w:trHeight w:hRule="exact" w:val="360"/>
                            </w:trPr>
                            <w:tc>
                              <w:tcPr>
                                <w:tcW w:w="100" w:type="pct"/>
                                <w:shd w:val="clear" w:color="auto" w:fill="A6192E"/>
                                <w:vAlign w:val="center"/>
                              </w:tcPr>
                              <w:p w14:paraId="2E95B519" w14:textId="77777777" w:rsidR="00AD7535" w:rsidRDefault="00AD7535">
                                <w:pPr>
                                  <w:pStyle w:val="Footer"/>
                                  <w:tabs>
                                    <w:tab w:val="clear" w:pos="4680"/>
                                    <w:tab w:val="clear" w:pos="9360"/>
                                  </w:tabs>
                                  <w:spacing w:before="40" w:after="40"/>
                                  <w:rPr>
                                    <w:color w:val="FFFFFF" w:themeColor="background1"/>
                                  </w:rPr>
                                </w:pPr>
                              </w:p>
                            </w:tc>
                            <w:tc>
                              <w:tcPr>
                                <w:tcW w:w="4650" w:type="pct"/>
                                <w:shd w:val="clear" w:color="auto" w:fill="BFBFBF" w:themeFill="background1" w:themeFillShade="BF"/>
                                <w:vAlign w:val="center"/>
                              </w:tcPr>
                              <w:p w14:paraId="40514218" w14:textId="77777777" w:rsidR="00AD7535" w:rsidRDefault="00AD7535">
                                <w:pPr>
                                  <w:pStyle w:val="Footer"/>
                                  <w:tabs>
                                    <w:tab w:val="clear" w:pos="4680"/>
                                    <w:tab w:val="clear" w:pos="9360"/>
                                  </w:tabs>
                                  <w:spacing w:before="40" w:after="40"/>
                                  <w:ind w:left="144" w:right="144"/>
                                  <w:rPr>
                                    <w:color w:val="FFFFFF" w:themeColor="background1"/>
                                  </w:rPr>
                                </w:pPr>
                                <w:r w:rsidRPr="001F51EE">
                                  <w:t>Skagit Vall</w:t>
                                </w:r>
                                <w:r>
                                  <w:t>ey College Financial Report 2017</w:t>
                                </w:r>
                              </w:p>
                            </w:tc>
                            <w:tc>
                              <w:tcPr>
                                <w:tcW w:w="250" w:type="pct"/>
                                <w:shd w:val="clear" w:color="auto" w:fill="A6192E"/>
                                <w:vAlign w:val="center"/>
                              </w:tcPr>
                              <w:p w14:paraId="08616D89" w14:textId="0BE0C908" w:rsidR="00AD7535" w:rsidRDefault="00AD7535">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6A61A0">
                                  <w:rPr>
                                    <w:noProof/>
                                    <w:color w:val="FFFFFF" w:themeColor="background1"/>
                                  </w:rPr>
                                  <w:t>21</w:t>
                                </w:r>
                                <w:r>
                                  <w:rPr>
                                    <w:noProof/>
                                    <w:color w:val="FFFFFF" w:themeColor="background1"/>
                                  </w:rPr>
                                  <w:fldChar w:fldCharType="end"/>
                                </w:r>
                              </w:p>
                            </w:tc>
                          </w:tr>
                        </w:tbl>
                        <w:p w14:paraId="3ABCBCBB" w14:textId="77777777" w:rsidR="00AD7535" w:rsidRDefault="00AD7535" w:rsidP="002C58B5">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499F7251" id="_x0000_t202" coordsize="21600,21600" o:spt="202" path="m,l,21600r21600,l21600,xe">
              <v:stroke joinstyle="miter"/>
              <v:path gradientshapeok="t" o:connecttype="rect"/>
            </v:shapetype>
            <v:shape id="Text Box 13" o:spid="_x0000_s1026" type="#_x0000_t202" alt="Color-block footer displaying page number" style="position:absolute;left:0;text-align:left;margin-left:1in;margin-top:745.25pt;width:468pt;height:30.95pt;z-index:251659264;visibility:visible;mso-wrap-style:square;mso-width-percent:1000;mso-height-percent:0;mso-wrap-distance-left:9pt;mso-wrap-distance-top:14.4pt;mso-wrap-distance-right:9pt;mso-wrap-distance-bottom:14.4pt;mso-position-horizontal:absolute;mso-position-horizontal-relative:page;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6"/>
                      <w:gridCol w:w="8696"/>
                      <w:gridCol w:w="468"/>
                    </w:tblGrid>
                    <w:tr w:rsidR="00AD7535" w14:paraId="1CB3D9F1" w14:textId="77777777" w:rsidTr="00946F01">
                      <w:trPr>
                        <w:trHeight w:hRule="exact" w:val="360"/>
                      </w:trPr>
                      <w:tc>
                        <w:tcPr>
                          <w:tcW w:w="100" w:type="pct"/>
                          <w:shd w:val="clear" w:color="auto" w:fill="A6192E"/>
                          <w:vAlign w:val="center"/>
                        </w:tcPr>
                        <w:p w14:paraId="2E95B519" w14:textId="77777777" w:rsidR="00AD7535" w:rsidRDefault="00AD7535">
                          <w:pPr>
                            <w:pStyle w:val="Footer"/>
                            <w:tabs>
                              <w:tab w:val="clear" w:pos="4680"/>
                              <w:tab w:val="clear" w:pos="9360"/>
                            </w:tabs>
                            <w:spacing w:before="40" w:after="40"/>
                            <w:rPr>
                              <w:color w:val="FFFFFF" w:themeColor="background1"/>
                            </w:rPr>
                          </w:pPr>
                        </w:p>
                      </w:tc>
                      <w:tc>
                        <w:tcPr>
                          <w:tcW w:w="4650" w:type="pct"/>
                          <w:shd w:val="clear" w:color="auto" w:fill="BFBFBF" w:themeFill="background1" w:themeFillShade="BF"/>
                          <w:vAlign w:val="center"/>
                        </w:tcPr>
                        <w:p w14:paraId="40514218" w14:textId="77777777" w:rsidR="00AD7535" w:rsidRDefault="00AD7535">
                          <w:pPr>
                            <w:pStyle w:val="Footer"/>
                            <w:tabs>
                              <w:tab w:val="clear" w:pos="4680"/>
                              <w:tab w:val="clear" w:pos="9360"/>
                            </w:tabs>
                            <w:spacing w:before="40" w:after="40"/>
                            <w:ind w:left="144" w:right="144"/>
                            <w:rPr>
                              <w:color w:val="FFFFFF" w:themeColor="background1"/>
                            </w:rPr>
                          </w:pPr>
                          <w:r w:rsidRPr="001F51EE">
                            <w:t>Skagit Vall</w:t>
                          </w:r>
                          <w:r>
                            <w:t>ey College Financial Report 2017</w:t>
                          </w:r>
                        </w:p>
                      </w:tc>
                      <w:tc>
                        <w:tcPr>
                          <w:tcW w:w="250" w:type="pct"/>
                          <w:shd w:val="clear" w:color="auto" w:fill="A6192E"/>
                          <w:vAlign w:val="center"/>
                        </w:tcPr>
                        <w:p w14:paraId="08616D89" w14:textId="0BE0C908" w:rsidR="00AD7535" w:rsidRDefault="00AD7535">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6A61A0">
                            <w:rPr>
                              <w:noProof/>
                              <w:color w:val="FFFFFF" w:themeColor="background1"/>
                            </w:rPr>
                            <w:t>21</w:t>
                          </w:r>
                          <w:r>
                            <w:rPr>
                              <w:noProof/>
                              <w:color w:val="FFFFFF" w:themeColor="background1"/>
                            </w:rPr>
                            <w:fldChar w:fldCharType="end"/>
                          </w:r>
                        </w:p>
                      </w:tc>
                    </w:tr>
                  </w:tbl>
                  <w:p w14:paraId="3ABCBCBB" w14:textId="77777777" w:rsidR="00AD7535" w:rsidRDefault="00AD7535" w:rsidP="002C58B5">
                    <w:pPr>
                      <w:pStyle w:val="NoSpacing"/>
                    </w:pPr>
                  </w:p>
                </w:txbxContent>
              </v:textbox>
              <w10:wrap type="topAndBottom" anchorx="page" anchory="page"/>
            </v:shape>
          </w:pict>
        </mc:Fallback>
      </mc:AlternateContent>
    </w:r>
  </w:p>
  <w:p w14:paraId="70A9DF2C" w14:textId="77777777" w:rsidR="00AD7535" w:rsidRDefault="00AD75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B69FA" w14:textId="77777777" w:rsidR="00AB0BB0" w:rsidRDefault="00AB0BB0" w:rsidP="005040A1">
      <w:r>
        <w:separator/>
      </w:r>
    </w:p>
  </w:footnote>
  <w:footnote w:type="continuationSeparator" w:id="0">
    <w:p w14:paraId="5B809873" w14:textId="77777777" w:rsidR="00AB0BB0" w:rsidRDefault="00AB0BB0" w:rsidP="005040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04F7265F"/>
    <w:multiLevelType w:val="hybridMultilevel"/>
    <w:tmpl w:val="A12EF1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A5B72A5"/>
    <w:multiLevelType w:val="hybridMultilevel"/>
    <w:tmpl w:val="F6EE8EAC"/>
    <w:lvl w:ilvl="0" w:tplc="F6861C8A">
      <w:start w:val="1"/>
      <w:numFmt w:val="bullet"/>
      <w:lvlText w:val=""/>
      <w:lvlJc w:val="left"/>
      <w:pPr>
        <w:tabs>
          <w:tab w:val="num" w:pos="720"/>
        </w:tabs>
        <w:ind w:left="720" w:hanging="360"/>
      </w:pPr>
      <w:rPr>
        <w:rFonts w:ascii="Wingdings" w:hAnsi="Wingdings" w:hint="default"/>
      </w:rPr>
    </w:lvl>
    <w:lvl w:ilvl="1" w:tplc="62D4F970" w:tentative="1">
      <w:start w:val="1"/>
      <w:numFmt w:val="bullet"/>
      <w:lvlText w:val=""/>
      <w:lvlJc w:val="left"/>
      <w:pPr>
        <w:tabs>
          <w:tab w:val="num" w:pos="1440"/>
        </w:tabs>
        <w:ind w:left="1440" w:hanging="360"/>
      </w:pPr>
      <w:rPr>
        <w:rFonts w:ascii="Wingdings" w:hAnsi="Wingdings" w:hint="default"/>
      </w:rPr>
    </w:lvl>
    <w:lvl w:ilvl="2" w:tplc="F11A14F2" w:tentative="1">
      <w:start w:val="1"/>
      <w:numFmt w:val="bullet"/>
      <w:lvlText w:val=""/>
      <w:lvlJc w:val="left"/>
      <w:pPr>
        <w:tabs>
          <w:tab w:val="num" w:pos="2160"/>
        </w:tabs>
        <w:ind w:left="2160" w:hanging="360"/>
      </w:pPr>
      <w:rPr>
        <w:rFonts w:ascii="Wingdings" w:hAnsi="Wingdings" w:hint="default"/>
      </w:rPr>
    </w:lvl>
    <w:lvl w:ilvl="3" w:tplc="E148277E" w:tentative="1">
      <w:start w:val="1"/>
      <w:numFmt w:val="bullet"/>
      <w:lvlText w:val=""/>
      <w:lvlJc w:val="left"/>
      <w:pPr>
        <w:tabs>
          <w:tab w:val="num" w:pos="2880"/>
        </w:tabs>
        <w:ind w:left="2880" w:hanging="360"/>
      </w:pPr>
      <w:rPr>
        <w:rFonts w:ascii="Wingdings" w:hAnsi="Wingdings" w:hint="default"/>
      </w:rPr>
    </w:lvl>
    <w:lvl w:ilvl="4" w:tplc="5C34ACF2" w:tentative="1">
      <w:start w:val="1"/>
      <w:numFmt w:val="bullet"/>
      <w:lvlText w:val=""/>
      <w:lvlJc w:val="left"/>
      <w:pPr>
        <w:tabs>
          <w:tab w:val="num" w:pos="3600"/>
        </w:tabs>
        <w:ind w:left="3600" w:hanging="360"/>
      </w:pPr>
      <w:rPr>
        <w:rFonts w:ascii="Wingdings" w:hAnsi="Wingdings" w:hint="default"/>
      </w:rPr>
    </w:lvl>
    <w:lvl w:ilvl="5" w:tplc="68E20E8A" w:tentative="1">
      <w:start w:val="1"/>
      <w:numFmt w:val="bullet"/>
      <w:lvlText w:val=""/>
      <w:lvlJc w:val="left"/>
      <w:pPr>
        <w:tabs>
          <w:tab w:val="num" w:pos="4320"/>
        </w:tabs>
        <w:ind w:left="4320" w:hanging="360"/>
      </w:pPr>
      <w:rPr>
        <w:rFonts w:ascii="Wingdings" w:hAnsi="Wingdings" w:hint="default"/>
      </w:rPr>
    </w:lvl>
    <w:lvl w:ilvl="6" w:tplc="40EAC53E" w:tentative="1">
      <w:start w:val="1"/>
      <w:numFmt w:val="bullet"/>
      <w:lvlText w:val=""/>
      <w:lvlJc w:val="left"/>
      <w:pPr>
        <w:tabs>
          <w:tab w:val="num" w:pos="5040"/>
        </w:tabs>
        <w:ind w:left="5040" w:hanging="360"/>
      </w:pPr>
      <w:rPr>
        <w:rFonts w:ascii="Wingdings" w:hAnsi="Wingdings" w:hint="default"/>
      </w:rPr>
    </w:lvl>
    <w:lvl w:ilvl="7" w:tplc="8F16C78A" w:tentative="1">
      <w:start w:val="1"/>
      <w:numFmt w:val="bullet"/>
      <w:lvlText w:val=""/>
      <w:lvlJc w:val="left"/>
      <w:pPr>
        <w:tabs>
          <w:tab w:val="num" w:pos="5760"/>
        </w:tabs>
        <w:ind w:left="5760" w:hanging="360"/>
      </w:pPr>
      <w:rPr>
        <w:rFonts w:ascii="Wingdings" w:hAnsi="Wingdings" w:hint="default"/>
      </w:rPr>
    </w:lvl>
    <w:lvl w:ilvl="8" w:tplc="8F146DA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AC4B60"/>
    <w:multiLevelType w:val="hybridMultilevel"/>
    <w:tmpl w:val="EA7AEA1E"/>
    <w:lvl w:ilvl="0" w:tplc="234C722E">
      <w:numFmt w:val="bullet"/>
      <w:lvlText w:val=""/>
      <w:lvlJc w:val="left"/>
      <w:pPr>
        <w:ind w:left="840" w:hanging="360"/>
      </w:pPr>
      <w:rPr>
        <w:rFonts w:ascii="Symbol" w:eastAsia="Symbol" w:hAnsi="Symbol" w:cs="Symbol" w:hint="default"/>
        <w:w w:val="100"/>
        <w:sz w:val="21"/>
        <w:szCs w:val="21"/>
      </w:rPr>
    </w:lvl>
    <w:lvl w:ilvl="1" w:tplc="C706C40E">
      <w:numFmt w:val="bullet"/>
      <w:lvlText w:val="•"/>
      <w:lvlJc w:val="left"/>
      <w:pPr>
        <w:ind w:left="1716" w:hanging="360"/>
      </w:pPr>
      <w:rPr>
        <w:rFonts w:hint="default"/>
      </w:rPr>
    </w:lvl>
    <w:lvl w:ilvl="2" w:tplc="FD321DAC">
      <w:numFmt w:val="bullet"/>
      <w:lvlText w:val="•"/>
      <w:lvlJc w:val="left"/>
      <w:pPr>
        <w:ind w:left="2592" w:hanging="360"/>
      </w:pPr>
      <w:rPr>
        <w:rFonts w:hint="default"/>
      </w:rPr>
    </w:lvl>
    <w:lvl w:ilvl="3" w:tplc="AA701344">
      <w:numFmt w:val="bullet"/>
      <w:lvlText w:val="•"/>
      <w:lvlJc w:val="left"/>
      <w:pPr>
        <w:ind w:left="3468" w:hanging="360"/>
      </w:pPr>
      <w:rPr>
        <w:rFonts w:hint="default"/>
      </w:rPr>
    </w:lvl>
    <w:lvl w:ilvl="4" w:tplc="73342CCA">
      <w:numFmt w:val="bullet"/>
      <w:lvlText w:val="•"/>
      <w:lvlJc w:val="left"/>
      <w:pPr>
        <w:ind w:left="4344" w:hanging="360"/>
      </w:pPr>
      <w:rPr>
        <w:rFonts w:hint="default"/>
      </w:rPr>
    </w:lvl>
    <w:lvl w:ilvl="5" w:tplc="C4A23432">
      <w:numFmt w:val="bullet"/>
      <w:lvlText w:val="•"/>
      <w:lvlJc w:val="left"/>
      <w:pPr>
        <w:ind w:left="5220" w:hanging="360"/>
      </w:pPr>
      <w:rPr>
        <w:rFonts w:hint="default"/>
      </w:rPr>
    </w:lvl>
    <w:lvl w:ilvl="6" w:tplc="A81E3A80">
      <w:numFmt w:val="bullet"/>
      <w:lvlText w:val="•"/>
      <w:lvlJc w:val="left"/>
      <w:pPr>
        <w:ind w:left="6096" w:hanging="360"/>
      </w:pPr>
      <w:rPr>
        <w:rFonts w:hint="default"/>
      </w:rPr>
    </w:lvl>
    <w:lvl w:ilvl="7" w:tplc="8968D7EA">
      <w:numFmt w:val="bullet"/>
      <w:lvlText w:val="•"/>
      <w:lvlJc w:val="left"/>
      <w:pPr>
        <w:ind w:left="6972" w:hanging="360"/>
      </w:pPr>
      <w:rPr>
        <w:rFonts w:hint="default"/>
      </w:rPr>
    </w:lvl>
    <w:lvl w:ilvl="8" w:tplc="EBBE8C1C">
      <w:numFmt w:val="bullet"/>
      <w:lvlText w:val="•"/>
      <w:lvlJc w:val="left"/>
      <w:pPr>
        <w:ind w:left="7848" w:hanging="360"/>
      </w:pPr>
      <w:rPr>
        <w:rFonts w:hint="default"/>
      </w:rPr>
    </w:lvl>
  </w:abstractNum>
  <w:abstractNum w:abstractNumId="3" w15:restartNumberingAfterBreak="0">
    <w:nsid w:val="0DF050E3"/>
    <w:multiLevelType w:val="hybridMultilevel"/>
    <w:tmpl w:val="F7A060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E472B"/>
    <w:multiLevelType w:val="hybridMultilevel"/>
    <w:tmpl w:val="5866C0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B64DD"/>
    <w:multiLevelType w:val="hybridMultilevel"/>
    <w:tmpl w:val="6AFCC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54BF9"/>
    <w:multiLevelType w:val="hybridMultilevel"/>
    <w:tmpl w:val="08D4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DFB0F50"/>
    <w:multiLevelType w:val="hybridMultilevel"/>
    <w:tmpl w:val="69B02606"/>
    <w:lvl w:ilvl="0" w:tplc="126CFD24">
      <w:start w:val="1"/>
      <w:numFmt w:val="bullet"/>
      <w:lvlText w:val=""/>
      <w:lvlJc w:val="left"/>
      <w:pPr>
        <w:tabs>
          <w:tab w:val="num" w:pos="720"/>
        </w:tabs>
        <w:ind w:left="720" w:hanging="360"/>
      </w:pPr>
      <w:rPr>
        <w:rFonts w:ascii="Wingdings" w:hAnsi="Wingdings" w:hint="default"/>
      </w:rPr>
    </w:lvl>
    <w:lvl w:ilvl="1" w:tplc="D1EA8328" w:tentative="1">
      <w:start w:val="1"/>
      <w:numFmt w:val="bullet"/>
      <w:lvlText w:val=""/>
      <w:lvlJc w:val="left"/>
      <w:pPr>
        <w:tabs>
          <w:tab w:val="num" w:pos="1440"/>
        </w:tabs>
        <w:ind w:left="1440" w:hanging="360"/>
      </w:pPr>
      <w:rPr>
        <w:rFonts w:ascii="Wingdings" w:hAnsi="Wingdings" w:hint="default"/>
      </w:rPr>
    </w:lvl>
    <w:lvl w:ilvl="2" w:tplc="0988E428" w:tentative="1">
      <w:start w:val="1"/>
      <w:numFmt w:val="bullet"/>
      <w:lvlText w:val=""/>
      <w:lvlJc w:val="left"/>
      <w:pPr>
        <w:tabs>
          <w:tab w:val="num" w:pos="2160"/>
        </w:tabs>
        <w:ind w:left="2160" w:hanging="360"/>
      </w:pPr>
      <w:rPr>
        <w:rFonts w:ascii="Wingdings" w:hAnsi="Wingdings" w:hint="default"/>
      </w:rPr>
    </w:lvl>
    <w:lvl w:ilvl="3" w:tplc="7C1468FC" w:tentative="1">
      <w:start w:val="1"/>
      <w:numFmt w:val="bullet"/>
      <w:lvlText w:val=""/>
      <w:lvlJc w:val="left"/>
      <w:pPr>
        <w:tabs>
          <w:tab w:val="num" w:pos="2880"/>
        </w:tabs>
        <w:ind w:left="2880" w:hanging="360"/>
      </w:pPr>
      <w:rPr>
        <w:rFonts w:ascii="Wingdings" w:hAnsi="Wingdings" w:hint="default"/>
      </w:rPr>
    </w:lvl>
    <w:lvl w:ilvl="4" w:tplc="ECE6BF64" w:tentative="1">
      <w:start w:val="1"/>
      <w:numFmt w:val="bullet"/>
      <w:lvlText w:val=""/>
      <w:lvlJc w:val="left"/>
      <w:pPr>
        <w:tabs>
          <w:tab w:val="num" w:pos="3600"/>
        </w:tabs>
        <w:ind w:left="3600" w:hanging="360"/>
      </w:pPr>
      <w:rPr>
        <w:rFonts w:ascii="Wingdings" w:hAnsi="Wingdings" w:hint="default"/>
      </w:rPr>
    </w:lvl>
    <w:lvl w:ilvl="5" w:tplc="F16A034C" w:tentative="1">
      <w:start w:val="1"/>
      <w:numFmt w:val="bullet"/>
      <w:lvlText w:val=""/>
      <w:lvlJc w:val="left"/>
      <w:pPr>
        <w:tabs>
          <w:tab w:val="num" w:pos="4320"/>
        </w:tabs>
        <w:ind w:left="4320" w:hanging="360"/>
      </w:pPr>
      <w:rPr>
        <w:rFonts w:ascii="Wingdings" w:hAnsi="Wingdings" w:hint="default"/>
      </w:rPr>
    </w:lvl>
    <w:lvl w:ilvl="6" w:tplc="F4B45F4C" w:tentative="1">
      <w:start w:val="1"/>
      <w:numFmt w:val="bullet"/>
      <w:lvlText w:val=""/>
      <w:lvlJc w:val="left"/>
      <w:pPr>
        <w:tabs>
          <w:tab w:val="num" w:pos="5040"/>
        </w:tabs>
        <w:ind w:left="5040" w:hanging="360"/>
      </w:pPr>
      <w:rPr>
        <w:rFonts w:ascii="Wingdings" w:hAnsi="Wingdings" w:hint="default"/>
      </w:rPr>
    </w:lvl>
    <w:lvl w:ilvl="7" w:tplc="7372440A" w:tentative="1">
      <w:start w:val="1"/>
      <w:numFmt w:val="bullet"/>
      <w:lvlText w:val=""/>
      <w:lvlJc w:val="left"/>
      <w:pPr>
        <w:tabs>
          <w:tab w:val="num" w:pos="5760"/>
        </w:tabs>
        <w:ind w:left="5760" w:hanging="360"/>
      </w:pPr>
      <w:rPr>
        <w:rFonts w:ascii="Wingdings" w:hAnsi="Wingdings" w:hint="default"/>
      </w:rPr>
    </w:lvl>
    <w:lvl w:ilvl="8" w:tplc="B65A182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C01CD7"/>
    <w:multiLevelType w:val="hybridMultilevel"/>
    <w:tmpl w:val="38580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C2470"/>
    <w:multiLevelType w:val="hybridMultilevel"/>
    <w:tmpl w:val="51D0EC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F56751"/>
    <w:multiLevelType w:val="hybridMultilevel"/>
    <w:tmpl w:val="E87EA9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C50978"/>
    <w:multiLevelType w:val="hybridMultilevel"/>
    <w:tmpl w:val="C2165366"/>
    <w:lvl w:ilvl="0" w:tplc="FEAA50D6">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1462623"/>
    <w:multiLevelType w:val="hybridMultilevel"/>
    <w:tmpl w:val="3334E1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2997A21"/>
    <w:multiLevelType w:val="hybridMultilevel"/>
    <w:tmpl w:val="521A01E2"/>
    <w:lvl w:ilvl="0" w:tplc="87A2E1F4">
      <w:start w:val="1"/>
      <w:numFmt w:val="decimal"/>
      <w:lvlText w:val="%1)"/>
      <w:lvlJc w:val="left"/>
      <w:pPr>
        <w:tabs>
          <w:tab w:val="num" w:pos="720"/>
        </w:tabs>
        <w:ind w:left="720" w:hanging="360"/>
      </w:pPr>
    </w:lvl>
    <w:lvl w:ilvl="1" w:tplc="DA7A0F94" w:tentative="1">
      <w:start w:val="1"/>
      <w:numFmt w:val="decimal"/>
      <w:lvlText w:val="%2)"/>
      <w:lvlJc w:val="left"/>
      <w:pPr>
        <w:tabs>
          <w:tab w:val="num" w:pos="1440"/>
        </w:tabs>
        <w:ind w:left="1440" w:hanging="360"/>
      </w:pPr>
    </w:lvl>
    <w:lvl w:ilvl="2" w:tplc="217A9356" w:tentative="1">
      <w:start w:val="1"/>
      <w:numFmt w:val="decimal"/>
      <w:lvlText w:val="%3)"/>
      <w:lvlJc w:val="left"/>
      <w:pPr>
        <w:tabs>
          <w:tab w:val="num" w:pos="2160"/>
        </w:tabs>
        <w:ind w:left="2160" w:hanging="360"/>
      </w:pPr>
    </w:lvl>
    <w:lvl w:ilvl="3" w:tplc="E592A35A" w:tentative="1">
      <w:start w:val="1"/>
      <w:numFmt w:val="decimal"/>
      <w:lvlText w:val="%4)"/>
      <w:lvlJc w:val="left"/>
      <w:pPr>
        <w:tabs>
          <w:tab w:val="num" w:pos="2880"/>
        </w:tabs>
        <w:ind w:left="2880" w:hanging="360"/>
      </w:pPr>
    </w:lvl>
    <w:lvl w:ilvl="4" w:tplc="3D648A60" w:tentative="1">
      <w:start w:val="1"/>
      <w:numFmt w:val="decimal"/>
      <w:lvlText w:val="%5)"/>
      <w:lvlJc w:val="left"/>
      <w:pPr>
        <w:tabs>
          <w:tab w:val="num" w:pos="3600"/>
        </w:tabs>
        <w:ind w:left="3600" w:hanging="360"/>
      </w:pPr>
    </w:lvl>
    <w:lvl w:ilvl="5" w:tplc="26E8DFB4" w:tentative="1">
      <w:start w:val="1"/>
      <w:numFmt w:val="decimal"/>
      <w:lvlText w:val="%6)"/>
      <w:lvlJc w:val="left"/>
      <w:pPr>
        <w:tabs>
          <w:tab w:val="num" w:pos="4320"/>
        </w:tabs>
        <w:ind w:left="4320" w:hanging="360"/>
      </w:pPr>
    </w:lvl>
    <w:lvl w:ilvl="6" w:tplc="8F8A1482" w:tentative="1">
      <w:start w:val="1"/>
      <w:numFmt w:val="decimal"/>
      <w:lvlText w:val="%7)"/>
      <w:lvlJc w:val="left"/>
      <w:pPr>
        <w:tabs>
          <w:tab w:val="num" w:pos="5040"/>
        </w:tabs>
        <w:ind w:left="5040" w:hanging="360"/>
      </w:pPr>
    </w:lvl>
    <w:lvl w:ilvl="7" w:tplc="FF56283C" w:tentative="1">
      <w:start w:val="1"/>
      <w:numFmt w:val="decimal"/>
      <w:lvlText w:val="%8)"/>
      <w:lvlJc w:val="left"/>
      <w:pPr>
        <w:tabs>
          <w:tab w:val="num" w:pos="5760"/>
        </w:tabs>
        <w:ind w:left="5760" w:hanging="360"/>
      </w:pPr>
    </w:lvl>
    <w:lvl w:ilvl="8" w:tplc="FA16EB20" w:tentative="1">
      <w:start w:val="1"/>
      <w:numFmt w:val="decimal"/>
      <w:lvlText w:val="%9)"/>
      <w:lvlJc w:val="left"/>
      <w:pPr>
        <w:tabs>
          <w:tab w:val="num" w:pos="6480"/>
        </w:tabs>
        <w:ind w:left="6480" w:hanging="360"/>
      </w:pPr>
    </w:lvl>
  </w:abstractNum>
  <w:abstractNum w:abstractNumId="14" w15:restartNumberingAfterBreak="0">
    <w:nsid w:val="5B7B37ED"/>
    <w:multiLevelType w:val="hybridMultilevel"/>
    <w:tmpl w:val="7176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732E42"/>
    <w:multiLevelType w:val="hybridMultilevel"/>
    <w:tmpl w:val="0298C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2E203C"/>
    <w:multiLevelType w:val="hybridMultilevel"/>
    <w:tmpl w:val="8EFA6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A558D3"/>
    <w:multiLevelType w:val="multilevel"/>
    <w:tmpl w:val="CBCE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056A04"/>
    <w:multiLevelType w:val="hybridMultilevel"/>
    <w:tmpl w:val="D3DAF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1"/>
  </w:num>
  <w:num w:numId="4">
    <w:abstractNumId w:val="6"/>
  </w:num>
  <w:num w:numId="5">
    <w:abstractNumId w:val="12"/>
  </w:num>
  <w:num w:numId="6">
    <w:abstractNumId w:val="0"/>
  </w:num>
  <w:num w:numId="7">
    <w:abstractNumId w:val="7"/>
  </w:num>
  <w:num w:numId="8">
    <w:abstractNumId w:val="13"/>
  </w:num>
  <w:num w:numId="9">
    <w:abstractNumId w:val="1"/>
  </w:num>
  <w:num w:numId="10">
    <w:abstractNumId w:val="4"/>
  </w:num>
  <w:num w:numId="11">
    <w:abstractNumId w:val="17"/>
  </w:num>
  <w:num w:numId="12">
    <w:abstractNumId w:val="9"/>
  </w:num>
  <w:num w:numId="13">
    <w:abstractNumId w:val="3"/>
  </w:num>
  <w:num w:numId="14">
    <w:abstractNumId w:val="2"/>
  </w:num>
  <w:num w:numId="15">
    <w:abstractNumId w:val="14"/>
  </w:num>
  <w:num w:numId="16">
    <w:abstractNumId w:val="16"/>
  </w:num>
  <w:num w:numId="17">
    <w:abstractNumId w:val="18"/>
  </w:num>
  <w:num w:numId="18">
    <w:abstractNumId w:val="8"/>
  </w:num>
  <w:num w:numId="19">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nise Nguyen">
    <w15:presenceInfo w15:providerId="AD" w15:userId="S-1-5-21-2162954678-3364338229-3037977907-8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B57"/>
    <w:rsid w:val="000003A5"/>
    <w:rsid w:val="00002546"/>
    <w:rsid w:val="00002B20"/>
    <w:rsid w:val="00014186"/>
    <w:rsid w:val="0003170E"/>
    <w:rsid w:val="000423C6"/>
    <w:rsid w:val="00044C7F"/>
    <w:rsid w:val="00057E65"/>
    <w:rsid w:val="00067C0B"/>
    <w:rsid w:val="00074123"/>
    <w:rsid w:val="00086833"/>
    <w:rsid w:val="000A22E0"/>
    <w:rsid w:val="000B38E4"/>
    <w:rsid w:val="000B5963"/>
    <w:rsid w:val="000C1116"/>
    <w:rsid w:val="000C6976"/>
    <w:rsid w:val="000D3733"/>
    <w:rsid w:val="000D7680"/>
    <w:rsid w:val="000E42C8"/>
    <w:rsid w:val="000E5B7B"/>
    <w:rsid w:val="000F2E67"/>
    <w:rsid w:val="00113B57"/>
    <w:rsid w:val="001152F2"/>
    <w:rsid w:val="00120B0F"/>
    <w:rsid w:val="00121D8B"/>
    <w:rsid w:val="00127C42"/>
    <w:rsid w:val="001309E5"/>
    <w:rsid w:val="00134972"/>
    <w:rsid w:val="001430FA"/>
    <w:rsid w:val="00154F99"/>
    <w:rsid w:val="00165260"/>
    <w:rsid w:val="00171416"/>
    <w:rsid w:val="00173133"/>
    <w:rsid w:val="00177A8B"/>
    <w:rsid w:val="00181E54"/>
    <w:rsid w:val="0018713F"/>
    <w:rsid w:val="00196B9E"/>
    <w:rsid w:val="001A7A82"/>
    <w:rsid w:val="001B3BCC"/>
    <w:rsid w:val="001C0C1E"/>
    <w:rsid w:val="001C7E0F"/>
    <w:rsid w:val="001D2F08"/>
    <w:rsid w:val="001F031A"/>
    <w:rsid w:val="0020609F"/>
    <w:rsid w:val="002152E1"/>
    <w:rsid w:val="002155F2"/>
    <w:rsid w:val="00220A5A"/>
    <w:rsid w:val="002248B5"/>
    <w:rsid w:val="00227339"/>
    <w:rsid w:val="00230BA1"/>
    <w:rsid w:val="00236531"/>
    <w:rsid w:val="00236FC9"/>
    <w:rsid w:val="00244EEB"/>
    <w:rsid w:val="002731D8"/>
    <w:rsid w:val="00276BCA"/>
    <w:rsid w:val="00277782"/>
    <w:rsid w:val="002777D8"/>
    <w:rsid w:val="00277FDD"/>
    <w:rsid w:val="00280D65"/>
    <w:rsid w:val="00281749"/>
    <w:rsid w:val="00290125"/>
    <w:rsid w:val="00291240"/>
    <w:rsid w:val="002A4D1C"/>
    <w:rsid w:val="002A66D7"/>
    <w:rsid w:val="002B69DB"/>
    <w:rsid w:val="002C1B18"/>
    <w:rsid w:val="002C58B5"/>
    <w:rsid w:val="002C5F5E"/>
    <w:rsid w:val="002D6B1C"/>
    <w:rsid w:val="002E262D"/>
    <w:rsid w:val="002E2F25"/>
    <w:rsid w:val="002F0078"/>
    <w:rsid w:val="002F498A"/>
    <w:rsid w:val="00324F00"/>
    <w:rsid w:val="00330369"/>
    <w:rsid w:val="00333964"/>
    <w:rsid w:val="0033742F"/>
    <w:rsid w:val="00341A0E"/>
    <w:rsid w:val="0034350A"/>
    <w:rsid w:val="00344123"/>
    <w:rsid w:val="00344A18"/>
    <w:rsid w:val="0035610D"/>
    <w:rsid w:val="00357DC9"/>
    <w:rsid w:val="00361D72"/>
    <w:rsid w:val="00361F12"/>
    <w:rsid w:val="00362861"/>
    <w:rsid w:val="00362CD7"/>
    <w:rsid w:val="003634B4"/>
    <w:rsid w:val="00371CBA"/>
    <w:rsid w:val="00372AFF"/>
    <w:rsid w:val="00381359"/>
    <w:rsid w:val="0039066A"/>
    <w:rsid w:val="0039099F"/>
    <w:rsid w:val="00395C84"/>
    <w:rsid w:val="003A4D21"/>
    <w:rsid w:val="003A74FF"/>
    <w:rsid w:val="003B30B6"/>
    <w:rsid w:val="003B5B5B"/>
    <w:rsid w:val="003D4E17"/>
    <w:rsid w:val="003E3F98"/>
    <w:rsid w:val="003E73AC"/>
    <w:rsid w:val="003F57F9"/>
    <w:rsid w:val="003F6741"/>
    <w:rsid w:val="0041595B"/>
    <w:rsid w:val="00423C1B"/>
    <w:rsid w:val="004407E4"/>
    <w:rsid w:val="00442739"/>
    <w:rsid w:val="00443542"/>
    <w:rsid w:val="00446B7D"/>
    <w:rsid w:val="00451948"/>
    <w:rsid w:val="004557EC"/>
    <w:rsid w:val="004607A4"/>
    <w:rsid w:val="004619C8"/>
    <w:rsid w:val="00464634"/>
    <w:rsid w:val="00472802"/>
    <w:rsid w:val="00474973"/>
    <w:rsid w:val="00476146"/>
    <w:rsid w:val="0048045C"/>
    <w:rsid w:val="00492D94"/>
    <w:rsid w:val="00493ACC"/>
    <w:rsid w:val="00497849"/>
    <w:rsid w:val="004A4250"/>
    <w:rsid w:val="004B574E"/>
    <w:rsid w:val="004C48E3"/>
    <w:rsid w:val="004C5EEE"/>
    <w:rsid w:val="004D2591"/>
    <w:rsid w:val="004E0102"/>
    <w:rsid w:val="00502B1C"/>
    <w:rsid w:val="005040A1"/>
    <w:rsid w:val="00505211"/>
    <w:rsid w:val="005065F9"/>
    <w:rsid w:val="005140B7"/>
    <w:rsid w:val="00521641"/>
    <w:rsid w:val="005351F6"/>
    <w:rsid w:val="0055232D"/>
    <w:rsid w:val="005524AF"/>
    <w:rsid w:val="00561167"/>
    <w:rsid w:val="0056330F"/>
    <w:rsid w:val="00566149"/>
    <w:rsid w:val="005746A7"/>
    <w:rsid w:val="005821BE"/>
    <w:rsid w:val="005901E7"/>
    <w:rsid w:val="005C3D83"/>
    <w:rsid w:val="005C45CB"/>
    <w:rsid w:val="005C7375"/>
    <w:rsid w:val="005D02F7"/>
    <w:rsid w:val="005D6487"/>
    <w:rsid w:val="005E428A"/>
    <w:rsid w:val="005F313C"/>
    <w:rsid w:val="005F6EC0"/>
    <w:rsid w:val="005F7C4B"/>
    <w:rsid w:val="00621585"/>
    <w:rsid w:val="00641DEC"/>
    <w:rsid w:val="00651711"/>
    <w:rsid w:val="006755B1"/>
    <w:rsid w:val="006771D4"/>
    <w:rsid w:val="006813FD"/>
    <w:rsid w:val="006829B0"/>
    <w:rsid w:val="00684C9F"/>
    <w:rsid w:val="00692A66"/>
    <w:rsid w:val="006A61A0"/>
    <w:rsid w:val="006B355F"/>
    <w:rsid w:val="006C4437"/>
    <w:rsid w:val="006C7991"/>
    <w:rsid w:val="006D4B3C"/>
    <w:rsid w:val="006D5397"/>
    <w:rsid w:val="006D5B54"/>
    <w:rsid w:val="006E1805"/>
    <w:rsid w:val="006E6C04"/>
    <w:rsid w:val="006E760D"/>
    <w:rsid w:val="006F0A5D"/>
    <w:rsid w:val="006F4037"/>
    <w:rsid w:val="0072549C"/>
    <w:rsid w:val="00736E3A"/>
    <w:rsid w:val="00742405"/>
    <w:rsid w:val="007429AE"/>
    <w:rsid w:val="007443C2"/>
    <w:rsid w:val="007514E5"/>
    <w:rsid w:val="00757343"/>
    <w:rsid w:val="00771694"/>
    <w:rsid w:val="00774E17"/>
    <w:rsid w:val="007757D6"/>
    <w:rsid w:val="0077724B"/>
    <w:rsid w:val="007808CF"/>
    <w:rsid w:val="00781118"/>
    <w:rsid w:val="007856F1"/>
    <w:rsid w:val="007879BC"/>
    <w:rsid w:val="007B44E1"/>
    <w:rsid w:val="007C02E5"/>
    <w:rsid w:val="007C6597"/>
    <w:rsid w:val="007D6EE6"/>
    <w:rsid w:val="007E7893"/>
    <w:rsid w:val="007F6C41"/>
    <w:rsid w:val="007F7440"/>
    <w:rsid w:val="007F7566"/>
    <w:rsid w:val="00806BDA"/>
    <w:rsid w:val="00812AB9"/>
    <w:rsid w:val="008231E8"/>
    <w:rsid w:val="0082354F"/>
    <w:rsid w:val="00831098"/>
    <w:rsid w:val="00832FED"/>
    <w:rsid w:val="00834308"/>
    <w:rsid w:val="008460CD"/>
    <w:rsid w:val="00850B9B"/>
    <w:rsid w:val="008510D8"/>
    <w:rsid w:val="00865CB2"/>
    <w:rsid w:val="00870448"/>
    <w:rsid w:val="00880AA5"/>
    <w:rsid w:val="0088612B"/>
    <w:rsid w:val="008A4BF7"/>
    <w:rsid w:val="008A5EC7"/>
    <w:rsid w:val="008B55E7"/>
    <w:rsid w:val="008E10E0"/>
    <w:rsid w:val="008E464F"/>
    <w:rsid w:val="00930056"/>
    <w:rsid w:val="00946F01"/>
    <w:rsid w:val="00951211"/>
    <w:rsid w:val="00954E47"/>
    <w:rsid w:val="00962F8E"/>
    <w:rsid w:val="00972310"/>
    <w:rsid w:val="00977134"/>
    <w:rsid w:val="009A2EE4"/>
    <w:rsid w:val="009A7001"/>
    <w:rsid w:val="009B6FB3"/>
    <w:rsid w:val="009C4DB2"/>
    <w:rsid w:val="009C7744"/>
    <w:rsid w:val="009D0F5E"/>
    <w:rsid w:val="009D22CB"/>
    <w:rsid w:val="009D3E27"/>
    <w:rsid w:val="009D412A"/>
    <w:rsid w:val="009D4935"/>
    <w:rsid w:val="009E4DE5"/>
    <w:rsid w:val="009F1B4C"/>
    <w:rsid w:val="00A00474"/>
    <w:rsid w:val="00A06C0A"/>
    <w:rsid w:val="00A62D8B"/>
    <w:rsid w:val="00A63E66"/>
    <w:rsid w:val="00A72C5F"/>
    <w:rsid w:val="00A74F62"/>
    <w:rsid w:val="00A81CFC"/>
    <w:rsid w:val="00A81E4D"/>
    <w:rsid w:val="00A85242"/>
    <w:rsid w:val="00A86A61"/>
    <w:rsid w:val="00A9597F"/>
    <w:rsid w:val="00AA1E81"/>
    <w:rsid w:val="00AA3010"/>
    <w:rsid w:val="00AA3442"/>
    <w:rsid w:val="00AB0BB0"/>
    <w:rsid w:val="00AB298E"/>
    <w:rsid w:val="00AB2B83"/>
    <w:rsid w:val="00AB50BF"/>
    <w:rsid w:val="00AB7578"/>
    <w:rsid w:val="00AC40E7"/>
    <w:rsid w:val="00AC4D31"/>
    <w:rsid w:val="00AC5F91"/>
    <w:rsid w:val="00AD2FF3"/>
    <w:rsid w:val="00AD7535"/>
    <w:rsid w:val="00AE13A6"/>
    <w:rsid w:val="00AE1BFE"/>
    <w:rsid w:val="00AE4298"/>
    <w:rsid w:val="00AF1BF9"/>
    <w:rsid w:val="00AF3225"/>
    <w:rsid w:val="00B00ED2"/>
    <w:rsid w:val="00B20EFC"/>
    <w:rsid w:val="00B224FF"/>
    <w:rsid w:val="00B23D80"/>
    <w:rsid w:val="00B42286"/>
    <w:rsid w:val="00B50FF6"/>
    <w:rsid w:val="00B54F0B"/>
    <w:rsid w:val="00B63E2A"/>
    <w:rsid w:val="00B7084B"/>
    <w:rsid w:val="00B72FA2"/>
    <w:rsid w:val="00BA679A"/>
    <w:rsid w:val="00BB4C72"/>
    <w:rsid w:val="00BC1247"/>
    <w:rsid w:val="00BD2757"/>
    <w:rsid w:val="00BD71EF"/>
    <w:rsid w:val="00BE6228"/>
    <w:rsid w:val="00BF4135"/>
    <w:rsid w:val="00BF6E08"/>
    <w:rsid w:val="00C106B4"/>
    <w:rsid w:val="00C12108"/>
    <w:rsid w:val="00C13603"/>
    <w:rsid w:val="00C1416A"/>
    <w:rsid w:val="00C14911"/>
    <w:rsid w:val="00C22658"/>
    <w:rsid w:val="00C33583"/>
    <w:rsid w:val="00C36C77"/>
    <w:rsid w:val="00C41CE8"/>
    <w:rsid w:val="00C5200E"/>
    <w:rsid w:val="00C52AE7"/>
    <w:rsid w:val="00C573F0"/>
    <w:rsid w:val="00C60F3C"/>
    <w:rsid w:val="00C715B1"/>
    <w:rsid w:val="00C76FD9"/>
    <w:rsid w:val="00C90D08"/>
    <w:rsid w:val="00C911F1"/>
    <w:rsid w:val="00C93296"/>
    <w:rsid w:val="00C97F80"/>
    <w:rsid w:val="00CA20D3"/>
    <w:rsid w:val="00CB6905"/>
    <w:rsid w:val="00CC5807"/>
    <w:rsid w:val="00CC6EAA"/>
    <w:rsid w:val="00CC71B6"/>
    <w:rsid w:val="00CD45F8"/>
    <w:rsid w:val="00CF02AB"/>
    <w:rsid w:val="00D02241"/>
    <w:rsid w:val="00D0627F"/>
    <w:rsid w:val="00D0793D"/>
    <w:rsid w:val="00D137F9"/>
    <w:rsid w:val="00D161D9"/>
    <w:rsid w:val="00D20364"/>
    <w:rsid w:val="00D40606"/>
    <w:rsid w:val="00D43678"/>
    <w:rsid w:val="00D446A9"/>
    <w:rsid w:val="00D45F6A"/>
    <w:rsid w:val="00D51A4A"/>
    <w:rsid w:val="00D52FBE"/>
    <w:rsid w:val="00D578ED"/>
    <w:rsid w:val="00D57D1A"/>
    <w:rsid w:val="00D62337"/>
    <w:rsid w:val="00D62BC2"/>
    <w:rsid w:val="00D75A9A"/>
    <w:rsid w:val="00D75E85"/>
    <w:rsid w:val="00D76388"/>
    <w:rsid w:val="00D80CBA"/>
    <w:rsid w:val="00D87046"/>
    <w:rsid w:val="00D9504D"/>
    <w:rsid w:val="00DB45F6"/>
    <w:rsid w:val="00DC1B48"/>
    <w:rsid w:val="00DC25EB"/>
    <w:rsid w:val="00DC2729"/>
    <w:rsid w:val="00DD0F5E"/>
    <w:rsid w:val="00DD441E"/>
    <w:rsid w:val="00DD6B56"/>
    <w:rsid w:val="00DE16A9"/>
    <w:rsid w:val="00DE40F2"/>
    <w:rsid w:val="00DE6270"/>
    <w:rsid w:val="00DE7A8B"/>
    <w:rsid w:val="00DF10E2"/>
    <w:rsid w:val="00DF7E00"/>
    <w:rsid w:val="00E00DF4"/>
    <w:rsid w:val="00E03811"/>
    <w:rsid w:val="00E07AF0"/>
    <w:rsid w:val="00E11778"/>
    <w:rsid w:val="00E15A88"/>
    <w:rsid w:val="00E238F1"/>
    <w:rsid w:val="00E33456"/>
    <w:rsid w:val="00E365F0"/>
    <w:rsid w:val="00E36B30"/>
    <w:rsid w:val="00E447C6"/>
    <w:rsid w:val="00E52D7F"/>
    <w:rsid w:val="00E61197"/>
    <w:rsid w:val="00E63AE3"/>
    <w:rsid w:val="00E647C8"/>
    <w:rsid w:val="00E81A54"/>
    <w:rsid w:val="00E92E49"/>
    <w:rsid w:val="00EA0BB9"/>
    <w:rsid w:val="00EA23B7"/>
    <w:rsid w:val="00EA3E1E"/>
    <w:rsid w:val="00EB5D9F"/>
    <w:rsid w:val="00EC0665"/>
    <w:rsid w:val="00EC38CE"/>
    <w:rsid w:val="00ED1671"/>
    <w:rsid w:val="00ED623E"/>
    <w:rsid w:val="00EE1311"/>
    <w:rsid w:val="00EE4BCA"/>
    <w:rsid w:val="00F0102A"/>
    <w:rsid w:val="00F0731B"/>
    <w:rsid w:val="00F13F06"/>
    <w:rsid w:val="00F1459E"/>
    <w:rsid w:val="00F16363"/>
    <w:rsid w:val="00F257CD"/>
    <w:rsid w:val="00F52336"/>
    <w:rsid w:val="00F56E19"/>
    <w:rsid w:val="00F81A76"/>
    <w:rsid w:val="00F866BC"/>
    <w:rsid w:val="00F86E46"/>
    <w:rsid w:val="00F91803"/>
    <w:rsid w:val="00F976A4"/>
    <w:rsid w:val="00FA14A5"/>
    <w:rsid w:val="00FA330C"/>
    <w:rsid w:val="00FA6919"/>
    <w:rsid w:val="00FC0DE1"/>
    <w:rsid w:val="00FC1FC0"/>
    <w:rsid w:val="00FC6FE8"/>
    <w:rsid w:val="00FF0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AF48D"/>
  <w15:docId w15:val="{155D509F-5EA7-47CD-BD3D-B7D9B815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2CB"/>
  </w:style>
  <w:style w:type="paragraph" w:styleId="Heading1">
    <w:name w:val="heading 1"/>
    <w:basedOn w:val="Normal"/>
    <w:next w:val="Normal"/>
    <w:link w:val="Heading1Char"/>
    <w:uiPriority w:val="9"/>
    <w:qFormat/>
    <w:rsid w:val="004A42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13F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F7C4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3742F"/>
    <w:pPr>
      <w:keepNext/>
      <w:spacing w:before="240" w:after="60"/>
      <w:outlineLvl w:val="3"/>
    </w:pPr>
    <w:rPr>
      <w:rFonts w:eastAsia="Times New Roman" w:cs="Times New Roman"/>
      <w:b/>
      <w:bCs/>
      <w:sz w:val="28"/>
      <w:szCs w:val="28"/>
      <w:lang w:bidi="en-US"/>
    </w:rPr>
  </w:style>
  <w:style w:type="paragraph" w:styleId="Heading6">
    <w:name w:val="heading 6"/>
    <w:basedOn w:val="Normal"/>
    <w:next w:val="Normal"/>
    <w:link w:val="Heading6Char"/>
    <w:qFormat/>
    <w:rsid w:val="0033742F"/>
    <w:pPr>
      <w:spacing w:before="240" w:after="60"/>
      <w:outlineLvl w:val="5"/>
    </w:pPr>
    <w:rPr>
      <w:rFonts w:eastAsia="Times New Roman" w:cs="Times New Roman"/>
      <w:b/>
      <w:bCs/>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25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13F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F7C4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33742F"/>
    <w:rPr>
      <w:rFonts w:eastAsia="Times New Roman" w:cs="Times New Roman"/>
      <w:b/>
      <w:bCs/>
      <w:sz w:val="28"/>
      <w:szCs w:val="28"/>
      <w:lang w:bidi="en-US"/>
    </w:rPr>
  </w:style>
  <w:style w:type="character" w:customStyle="1" w:styleId="Heading6Char">
    <w:name w:val="Heading 6 Char"/>
    <w:basedOn w:val="DefaultParagraphFont"/>
    <w:link w:val="Heading6"/>
    <w:rsid w:val="0033742F"/>
    <w:rPr>
      <w:rFonts w:eastAsia="Times New Roman" w:cs="Times New Roman"/>
      <w:b/>
      <w:bCs/>
      <w:sz w:val="22"/>
      <w:szCs w:val="22"/>
      <w:lang w:bidi="en-US"/>
    </w:rPr>
  </w:style>
  <w:style w:type="table" w:styleId="TableGrid">
    <w:name w:val="Table Grid"/>
    <w:basedOn w:val="TableNormal"/>
    <w:uiPriority w:val="59"/>
    <w:rsid w:val="00D80CBA"/>
    <w:rPr>
      <w:rFonts w:eastAsia="Calibri" w:cs="Times New Roman"/>
      <w:szCs w:val="20"/>
    </w:rPr>
    <w:tblPr/>
  </w:style>
  <w:style w:type="paragraph" w:styleId="List">
    <w:name w:val="List"/>
    <w:basedOn w:val="Normal"/>
    <w:rsid w:val="0033742F"/>
    <w:pPr>
      <w:ind w:left="360" w:hanging="360"/>
      <w:contextualSpacing/>
    </w:pPr>
    <w:rPr>
      <w:rFonts w:eastAsia="Times New Roman" w:cs="Times New Roman"/>
      <w:szCs w:val="20"/>
      <w:lang w:bidi="en-US"/>
    </w:rPr>
  </w:style>
  <w:style w:type="character" w:styleId="Hyperlink">
    <w:name w:val="Hyperlink"/>
    <w:basedOn w:val="DefaultParagraphFont"/>
    <w:uiPriority w:val="99"/>
    <w:unhideWhenUsed/>
    <w:rsid w:val="00423C1B"/>
    <w:rPr>
      <w:color w:val="0000FF" w:themeColor="hyperlink"/>
      <w:u w:val="single"/>
    </w:rPr>
  </w:style>
  <w:style w:type="paragraph" w:customStyle="1" w:styleId="B1">
    <w:name w:val="B1"/>
    <w:basedOn w:val="Normal"/>
    <w:rsid w:val="00121D8B"/>
    <w:pPr>
      <w:tabs>
        <w:tab w:val="left" w:pos="240"/>
      </w:tabs>
      <w:autoSpaceDE w:val="0"/>
      <w:autoSpaceDN w:val="0"/>
      <w:adjustRightInd w:val="0"/>
      <w:spacing w:line="210" w:lineRule="atLeast"/>
      <w:ind w:firstLine="240"/>
      <w:textAlignment w:val="baseline"/>
    </w:pPr>
    <w:rPr>
      <w:rFonts w:ascii="Stone Serif" w:eastAsia="Times New Roman" w:hAnsi="Stone Serif" w:cs="Stone Serif"/>
      <w:color w:val="000000"/>
      <w:sz w:val="18"/>
      <w:szCs w:val="18"/>
    </w:rPr>
  </w:style>
  <w:style w:type="paragraph" w:styleId="ListParagraph">
    <w:name w:val="List Paragraph"/>
    <w:basedOn w:val="Normal"/>
    <w:uiPriority w:val="34"/>
    <w:qFormat/>
    <w:rsid w:val="006D5397"/>
    <w:pPr>
      <w:ind w:left="720"/>
      <w:contextualSpacing/>
      <w:jc w:val="both"/>
    </w:pPr>
    <w:rPr>
      <w:rFonts w:asciiTheme="minorHAnsi" w:hAnsiTheme="minorHAnsi"/>
      <w:sz w:val="22"/>
      <w:szCs w:val="22"/>
    </w:rPr>
  </w:style>
  <w:style w:type="paragraph" w:customStyle="1" w:styleId="NOTESFIRSTLINE">
    <w:name w:val="NOTES FIRST LINE"/>
    <w:rsid w:val="00341A0E"/>
    <w:pPr>
      <w:tabs>
        <w:tab w:val="left" w:pos="1080"/>
      </w:tabs>
      <w:spacing w:before="240" w:after="240"/>
    </w:pPr>
    <w:rPr>
      <w:rFonts w:eastAsia="Times New Roman" w:cs="Times New Roman"/>
      <w:b/>
      <w:smallCaps/>
      <w:szCs w:val="20"/>
    </w:rPr>
  </w:style>
  <w:style w:type="paragraph" w:styleId="TOC1">
    <w:name w:val="toc 1"/>
    <w:basedOn w:val="Normal"/>
    <w:next w:val="Normal"/>
    <w:autoRedefine/>
    <w:uiPriority w:val="39"/>
    <w:unhideWhenUsed/>
    <w:rsid w:val="004A4250"/>
    <w:pPr>
      <w:spacing w:after="100"/>
    </w:pPr>
  </w:style>
  <w:style w:type="paragraph" w:styleId="TOCHeading">
    <w:name w:val="TOC Heading"/>
    <w:basedOn w:val="Heading1"/>
    <w:next w:val="Normal"/>
    <w:uiPriority w:val="39"/>
    <w:semiHidden/>
    <w:unhideWhenUsed/>
    <w:qFormat/>
    <w:rsid w:val="004A4250"/>
    <w:pPr>
      <w:spacing w:line="276" w:lineRule="auto"/>
      <w:outlineLvl w:val="9"/>
    </w:pPr>
    <w:rPr>
      <w:lang w:eastAsia="ja-JP"/>
    </w:rPr>
  </w:style>
  <w:style w:type="paragraph" w:styleId="NoSpacing">
    <w:name w:val="No Spacing"/>
    <w:uiPriority w:val="1"/>
    <w:qFormat/>
    <w:rsid w:val="003F6741"/>
  </w:style>
  <w:style w:type="paragraph" w:styleId="NormalWeb">
    <w:name w:val="Normal (Web)"/>
    <w:basedOn w:val="Normal"/>
    <w:uiPriority w:val="99"/>
    <w:unhideWhenUsed/>
    <w:rsid w:val="00B7084B"/>
    <w:pPr>
      <w:spacing w:before="100" w:beforeAutospacing="1" w:after="100" w:afterAutospacing="1"/>
    </w:pPr>
    <w:rPr>
      <w:rFonts w:eastAsia="Times New Roman" w:cs="Times New Roman"/>
    </w:rPr>
  </w:style>
  <w:style w:type="paragraph" w:customStyle="1" w:styleId="BodyText1">
    <w:name w:val="Body Text1"/>
    <w:basedOn w:val="Normal"/>
    <w:rsid w:val="007F7566"/>
    <w:pPr>
      <w:spacing w:before="120" w:after="120"/>
    </w:pPr>
    <w:rPr>
      <w:rFonts w:ascii="Arial" w:eastAsia="Times New Roman" w:hAnsi="Arial" w:cs="Times New Roman"/>
      <w:sz w:val="20"/>
      <w:szCs w:val="20"/>
    </w:rPr>
  </w:style>
  <w:style w:type="paragraph" w:customStyle="1" w:styleId="Default">
    <w:name w:val="Default"/>
    <w:rsid w:val="001C7E0F"/>
    <w:pPr>
      <w:autoSpaceDE w:val="0"/>
      <w:autoSpaceDN w:val="0"/>
      <w:adjustRightInd w:val="0"/>
    </w:pPr>
    <w:rPr>
      <w:rFonts w:cs="Times New Roman"/>
      <w:color w:val="000000"/>
    </w:rPr>
  </w:style>
  <w:style w:type="table" w:styleId="LightList">
    <w:name w:val="Light List"/>
    <w:basedOn w:val="TableNormal"/>
    <w:uiPriority w:val="61"/>
    <w:rsid w:val="00A72C5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
    <w:name w:val="Medium Shading 2"/>
    <w:basedOn w:val="TableNormal"/>
    <w:uiPriority w:val="64"/>
    <w:rsid w:val="00A72C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trong">
    <w:name w:val="Strong"/>
    <w:basedOn w:val="DefaultParagraphFont"/>
    <w:uiPriority w:val="22"/>
    <w:qFormat/>
    <w:rsid w:val="005F7C4B"/>
    <w:rPr>
      <w:b/>
      <w:bCs/>
    </w:rPr>
  </w:style>
  <w:style w:type="paragraph" w:styleId="BalloonText">
    <w:name w:val="Balloon Text"/>
    <w:basedOn w:val="Normal"/>
    <w:link w:val="BalloonTextChar"/>
    <w:uiPriority w:val="99"/>
    <w:semiHidden/>
    <w:unhideWhenUsed/>
    <w:rsid w:val="00442739"/>
    <w:rPr>
      <w:rFonts w:ascii="Tahoma" w:hAnsi="Tahoma" w:cs="Tahoma"/>
      <w:sz w:val="16"/>
      <w:szCs w:val="16"/>
    </w:rPr>
  </w:style>
  <w:style w:type="character" w:customStyle="1" w:styleId="BalloonTextChar">
    <w:name w:val="Balloon Text Char"/>
    <w:basedOn w:val="DefaultParagraphFont"/>
    <w:link w:val="BalloonText"/>
    <w:uiPriority w:val="99"/>
    <w:semiHidden/>
    <w:rsid w:val="00442739"/>
    <w:rPr>
      <w:rFonts w:ascii="Tahoma" w:hAnsi="Tahoma" w:cs="Tahoma"/>
      <w:sz w:val="16"/>
      <w:szCs w:val="16"/>
    </w:rPr>
  </w:style>
  <w:style w:type="paragraph" w:styleId="Header">
    <w:name w:val="header"/>
    <w:basedOn w:val="Normal"/>
    <w:link w:val="HeaderChar"/>
    <w:uiPriority w:val="99"/>
    <w:unhideWhenUsed/>
    <w:rsid w:val="005040A1"/>
    <w:pPr>
      <w:tabs>
        <w:tab w:val="center" w:pos="4680"/>
        <w:tab w:val="right" w:pos="9360"/>
      </w:tabs>
    </w:pPr>
  </w:style>
  <w:style w:type="character" w:customStyle="1" w:styleId="HeaderChar">
    <w:name w:val="Header Char"/>
    <w:basedOn w:val="DefaultParagraphFont"/>
    <w:link w:val="Header"/>
    <w:uiPriority w:val="99"/>
    <w:rsid w:val="005040A1"/>
  </w:style>
  <w:style w:type="paragraph" w:styleId="Footer">
    <w:name w:val="footer"/>
    <w:basedOn w:val="Normal"/>
    <w:link w:val="FooterChar"/>
    <w:uiPriority w:val="99"/>
    <w:unhideWhenUsed/>
    <w:qFormat/>
    <w:rsid w:val="005040A1"/>
    <w:pPr>
      <w:tabs>
        <w:tab w:val="center" w:pos="4680"/>
        <w:tab w:val="right" w:pos="9360"/>
      </w:tabs>
    </w:pPr>
  </w:style>
  <w:style w:type="character" w:customStyle="1" w:styleId="FooterChar">
    <w:name w:val="Footer Char"/>
    <w:basedOn w:val="DefaultParagraphFont"/>
    <w:link w:val="Footer"/>
    <w:uiPriority w:val="99"/>
    <w:rsid w:val="005040A1"/>
  </w:style>
  <w:style w:type="paragraph" w:styleId="BodyText">
    <w:name w:val="Body Text"/>
    <w:basedOn w:val="Normal"/>
    <w:link w:val="BodyTextChar"/>
    <w:uiPriority w:val="1"/>
    <w:qFormat/>
    <w:rsid w:val="00DD0F5E"/>
    <w:pPr>
      <w:widowControl w:val="0"/>
      <w:autoSpaceDE w:val="0"/>
      <w:autoSpaceDN w:val="0"/>
    </w:pPr>
    <w:rPr>
      <w:rFonts w:ascii="Calibri" w:eastAsia="Calibri" w:hAnsi="Calibri" w:cs="Calibri"/>
      <w:sz w:val="21"/>
      <w:szCs w:val="21"/>
    </w:rPr>
  </w:style>
  <w:style w:type="character" w:customStyle="1" w:styleId="BodyTextChar">
    <w:name w:val="Body Text Char"/>
    <w:basedOn w:val="DefaultParagraphFont"/>
    <w:link w:val="BodyText"/>
    <w:uiPriority w:val="1"/>
    <w:rsid w:val="00DD0F5E"/>
    <w:rPr>
      <w:rFonts w:ascii="Calibri" w:eastAsia="Calibri" w:hAnsi="Calibri" w:cs="Calibri"/>
      <w:sz w:val="21"/>
      <w:szCs w:val="21"/>
    </w:rPr>
  </w:style>
  <w:style w:type="paragraph" w:customStyle="1" w:styleId="TableParagraph">
    <w:name w:val="Table Paragraph"/>
    <w:basedOn w:val="Normal"/>
    <w:uiPriority w:val="1"/>
    <w:qFormat/>
    <w:rsid w:val="00DD0F5E"/>
    <w:pPr>
      <w:widowControl w:val="0"/>
      <w:autoSpaceDE w:val="0"/>
      <w:autoSpaceDN w:val="0"/>
      <w:spacing w:line="244" w:lineRule="exact"/>
      <w:jc w:val="right"/>
    </w:pPr>
    <w:rPr>
      <w:rFonts w:ascii="Calibri" w:eastAsia="Calibri" w:hAnsi="Calibri" w:cs="Calibri"/>
      <w:sz w:val="22"/>
      <w:szCs w:val="22"/>
    </w:rPr>
  </w:style>
  <w:style w:type="character" w:styleId="CommentReference">
    <w:name w:val="annotation reference"/>
    <w:basedOn w:val="DefaultParagraphFont"/>
    <w:uiPriority w:val="99"/>
    <w:semiHidden/>
    <w:unhideWhenUsed/>
    <w:rsid w:val="00561167"/>
    <w:rPr>
      <w:sz w:val="16"/>
      <w:szCs w:val="16"/>
    </w:rPr>
  </w:style>
  <w:style w:type="paragraph" w:styleId="CommentText">
    <w:name w:val="annotation text"/>
    <w:basedOn w:val="Normal"/>
    <w:link w:val="CommentTextChar"/>
    <w:uiPriority w:val="99"/>
    <w:semiHidden/>
    <w:unhideWhenUsed/>
    <w:rsid w:val="00561167"/>
    <w:rPr>
      <w:sz w:val="20"/>
      <w:szCs w:val="20"/>
    </w:rPr>
  </w:style>
  <w:style w:type="character" w:customStyle="1" w:styleId="CommentTextChar">
    <w:name w:val="Comment Text Char"/>
    <w:basedOn w:val="DefaultParagraphFont"/>
    <w:link w:val="CommentText"/>
    <w:uiPriority w:val="99"/>
    <w:semiHidden/>
    <w:rsid w:val="00561167"/>
    <w:rPr>
      <w:sz w:val="20"/>
      <w:szCs w:val="20"/>
    </w:rPr>
  </w:style>
  <w:style w:type="character" w:customStyle="1" w:styleId="CommentSubjectChar">
    <w:name w:val="Comment Subject Char"/>
    <w:basedOn w:val="CommentTextChar"/>
    <w:link w:val="CommentSubject"/>
    <w:uiPriority w:val="99"/>
    <w:semiHidden/>
    <w:rsid w:val="00561167"/>
    <w:rPr>
      <w:b/>
      <w:bCs/>
      <w:sz w:val="20"/>
      <w:szCs w:val="20"/>
    </w:rPr>
  </w:style>
  <w:style w:type="paragraph" w:styleId="CommentSubject">
    <w:name w:val="annotation subject"/>
    <w:basedOn w:val="CommentText"/>
    <w:next w:val="CommentText"/>
    <w:link w:val="CommentSubjectChar"/>
    <w:uiPriority w:val="99"/>
    <w:semiHidden/>
    <w:unhideWhenUsed/>
    <w:rsid w:val="00561167"/>
    <w:rPr>
      <w:b/>
      <w:bCs/>
    </w:rPr>
  </w:style>
  <w:style w:type="character" w:styleId="FollowedHyperlink">
    <w:name w:val="FollowedHyperlink"/>
    <w:basedOn w:val="DefaultParagraphFont"/>
    <w:uiPriority w:val="99"/>
    <w:semiHidden/>
    <w:unhideWhenUsed/>
    <w:rsid w:val="00AA1E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3899">
      <w:bodyDiv w:val="1"/>
      <w:marLeft w:val="0"/>
      <w:marRight w:val="0"/>
      <w:marTop w:val="0"/>
      <w:marBottom w:val="0"/>
      <w:divBdr>
        <w:top w:val="none" w:sz="0" w:space="0" w:color="auto"/>
        <w:left w:val="none" w:sz="0" w:space="0" w:color="auto"/>
        <w:bottom w:val="none" w:sz="0" w:space="0" w:color="auto"/>
        <w:right w:val="none" w:sz="0" w:space="0" w:color="auto"/>
      </w:divBdr>
    </w:div>
    <w:div w:id="98067147">
      <w:bodyDiv w:val="1"/>
      <w:marLeft w:val="0"/>
      <w:marRight w:val="0"/>
      <w:marTop w:val="0"/>
      <w:marBottom w:val="0"/>
      <w:divBdr>
        <w:top w:val="none" w:sz="0" w:space="0" w:color="auto"/>
        <w:left w:val="none" w:sz="0" w:space="0" w:color="auto"/>
        <w:bottom w:val="none" w:sz="0" w:space="0" w:color="auto"/>
        <w:right w:val="none" w:sz="0" w:space="0" w:color="auto"/>
      </w:divBdr>
      <w:divsChild>
        <w:div w:id="842933617">
          <w:marLeft w:val="547"/>
          <w:marRight w:val="0"/>
          <w:marTop w:val="115"/>
          <w:marBottom w:val="0"/>
          <w:divBdr>
            <w:top w:val="none" w:sz="0" w:space="0" w:color="auto"/>
            <w:left w:val="none" w:sz="0" w:space="0" w:color="auto"/>
            <w:bottom w:val="none" w:sz="0" w:space="0" w:color="auto"/>
            <w:right w:val="none" w:sz="0" w:space="0" w:color="auto"/>
          </w:divBdr>
        </w:div>
      </w:divsChild>
    </w:div>
    <w:div w:id="175772998">
      <w:bodyDiv w:val="1"/>
      <w:marLeft w:val="0"/>
      <w:marRight w:val="0"/>
      <w:marTop w:val="0"/>
      <w:marBottom w:val="0"/>
      <w:divBdr>
        <w:top w:val="none" w:sz="0" w:space="0" w:color="auto"/>
        <w:left w:val="none" w:sz="0" w:space="0" w:color="auto"/>
        <w:bottom w:val="none" w:sz="0" w:space="0" w:color="auto"/>
        <w:right w:val="none" w:sz="0" w:space="0" w:color="auto"/>
      </w:divBdr>
    </w:div>
    <w:div w:id="548684046">
      <w:bodyDiv w:val="1"/>
      <w:marLeft w:val="0"/>
      <w:marRight w:val="0"/>
      <w:marTop w:val="0"/>
      <w:marBottom w:val="0"/>
      <w:divBdr>
        <w:top w:val="none" w:sz="0" w:space="0" w:color="auto"/>
        <w:left w:val="none" w:sz="0" w:space="0" w:color="auto"/>
        <w:bottom w:val="none" w:sz="0" w:space="0" w:color="auto"/>
        <w:right w:val="none" w:sz="0" w:space="0" w:color="auto"/>
      </w:divBdr>
    </w:div>
    <w:div w:id="665132395">
      <w:bodyDiv w:val="1"/>
      <w:marLeft w:val="0"/>
      <w:marRight w:val="0"/>
      <w:marTop w:val="0"/>
      <w:marBottom w:val="0"/>
      <w:divBdr>
        <w:top w:val="none" w:sz="0" w:space="0" w:color="auto"/>
        <w:left w:val="none" w:sz="0" w:space="0" w:color="auto"/>
        <w:bottom w:val="none" w:sz="0" w:space="0" w:color="auto"/>
        <w:right w:val="none" w:sz="0" w:space="0" w:color="auto"/>
      </w:divBdr>
    </w:div>
    <w:div w:id="792946640">
      <w:bodyDiv w:val="1"/>
      <w:marLeft w:val="0"/>
      <w:marRight w:val="0"/>
      <w:marTop w:val="0"/>
      <w:marBottom w:val="0"/>
      <w:divBdr>
        <w:top w:val="none" w:sz="0" w:space="0" w:color="auto"/>
        <w:left w:val="none" w:sz="0" w:space="0" w:color="auto"/>
        <w:bottom w:val="none" w:sz="0" w:space="0" w:color="auto"/>
        <w:right w:val="none" w:sz="0" w:space="0" w:color="auto"/>
      </w:divBdr>
      <w:divsChild>
        <w:div w:id="742989364">
          <w:marLeft w:val="0"/>
          <w:marRight w:val="0"/>
          <w:marTop w:val="100"/>
          <w:marBottom w:val="100"/>
          <w:divBdr>
            <w:top w:val="none" w:sz="0" w:space="0" w:color="auto"/>
            <w:left w:val="single" w:sz="6" w:space="0" w:color="FFFFFF"/>
            <w:bottom w:val="single" w:sz="6" w:space="0" w:color="FFFFFF"/>
            <w:right w:val="single" w:sz="6" w:space="0" w:color="FFFFFF"/>
          </w:divBdr>
          <w:divsChild>
            <w:div w:id="869417736">
              <w:marLeft w:val="0"/>
              <w:marRight w:val="0"/>
              <w:marTop w:val="0"/>
              <w:marBottom w:val="0"/>
              <w:divBdr>
                <w:top w:val="none" w:sz="0" w:space="0" w:color="auto"/>
                <w:left w:val="single" w:sz="6" w:space="0" w:color="FFFFFF"/>
                <w:bottom w:val="none" w:sz="0" w:space="0" w:color="auto"/>
                <w:right w:val="none" w:sz="0" w:space="0" w:color="auto"/>
              </w:divBdr>
              <w:divsChild>
                <w:div w:id="1430809649">
                  <w:marLeft w:val="0"/>
                  <w:marRight w:val="0"/>
                  <w:marTop w:val="0"/>
                  <w:marBottom w:val="0"/>
                  <w:divBdr>
                    <w:top w:val="none" w:sz="0" w:space="0" w:color="auto"/>
                    <w:left w:val="single" w:sz="6" w:space="0" w:color="000000"/>
                    <w:bottom w:val="none" w:sz="0" w:space="0" w:color="auto"/>
                    <w:right w:val="none" w:sz="0" w:space="0" w:color="auto"/>
                  </w:divBdr>
                  <w:divsChild>
                    <w:div w:id="131758044">
                      <w:marLeft w:val="0"/>
                      <w:marRight w:val="0"/>
                      <w:marTop w:val="0"/>
                      <w:marBottom w:val="0"/>
                      <w:divBdr>
                        <w:top w:val="none" w:sz="0" w:space="0" w:color="auto"/>
                        <w:left w:val="single" w:sz="6" w:space="0" w:color="FFFFFF"/>
                        <w:bottom w:val="none" w:sz="0" w:space="0" w:color="auto"/>
                        <w:right w:val="none" w:sz="0" w:space="0" w:color="auto"/>
                      </w:divBdr>
                      <w:divsChild>
                        <w:div w:id="2055930190">
                          <w:marLeft w:val="120"/>
                          <w:marRight w:val="120"/>
                          <w:marTop w:val="0"/>
                          <w:marBottom w:val="120"/>
                          <w:divBdr>
                            <w:top w:val="single" w:sz="6" w:space="0" w:color="000000"/>
                            <w:left w:val="single" w:sz="6" w:space="0" w:color="000000"/>
                            <w:bottom w:val="single" w:sz="6" w:space="0" w:color="000000"/>
                            <w:right w:val="single" w:sz="6" w:space="0" w:color="000000"/>
                          </w:divBdr>
                          <w:divsChild>
                            <w:div w:id="456217219">
                              <w:marLeft w:val="15"/>
                              <w:marRight w:val="15"/>
                              <w:marTop w:val="15"/>
                              <w:marBottom w:val="15"/>
                              <w:divBdr>
                                <w:top w:val="single" w:sz="18" w:space="0" w:color="C8E07F"/>
                                <w:left w:val="none" w:sz="0" w:space="0" w:color="auto"/>
                                <w:bottom w:val="single" w:sz="18" w:space="0" w:color="C8E07F"/>
                                <w:right w:val="none" w:sz="0" w:space="0" w:color="auto"/>
                              </w:divBdr>
                            </w:div>
                          </w:divsChild>
                        </w:div>
                      </w:divsChild>
                    </w:div>
                  </w:divsChild>
                </w:div>
              </w:divsChild>
            </w:div>
          </w:divsChild>
        </w:div>
      </w:divsChild>
    </w:div>
    <w:div w:id="971792153">
      <w:bodyDiv w:val="1"/>
      <w:marLeft w:val="0"/>
      <w:marRight w:val="0"/>
      <w:marTop w:val="0"/>
      <w:marBottom w:val="0"/>
      <w:divBdr>
        <w:top w:val="none" w:sz="0" w:space="0" w:color="auto"/>
        <w:left w:val="none" w:sz="0" w:space="0" w:color="auto"/>
        <w:bottom w:val="none" w:sz="0" w:space="0" w:color="auto"/>
        <w:right w:val="none" w:sz="0" w:space="0" w:color="auto"/>
      </w:divBdr>
    </w:div>
    <w:div w:id="1101340039">
      <w:bodyDiv w:val="1"/>
      <w:marLeft w:val="0"/>
      <w:marRight w:val="0"/>
      <w:marTop w:val="0"/>
      <w:marBottom w:val="0"/>
      <w:divBdr>
        <w:top w:val="none" w:sz="0" w:space="0" w:color="auto"/>
        <w:left w:val="none" w:sz="0" w:space="0" w:color="auto"/>
        <w:bottom w:val="none" w:sz="0" w:space="0" w:color="auto"/>
        <w:right w:val="none" w:sz="0" w:space="0" w:color="auto"/>
      </w:divBdr>
      <w:divsChild>
        <w:div w:id="1064642031">
          <w:marLeft w:val="547"/>
          <w:marRight w:val="0"/>
          <w:marTop w:val="115"/>
          <w:marBottom w:val="0"/>
          <w:divBdr>
            <w:top w:val="none" w:sz="0" w:space="0" w:color="auto"/>
            <w:left w:val="none" w:sz="0" w:space="0" w:color="auto"/>
            <w:bottom w:val="none" w:sz="0" w:space="0" w:color="auto"/>
            <w:right w:val="none" w:sz="0" w:space="0" w:color="auto"/>
          </w:divBdr>
        </w:div>
        <w:div w:id="1831016170">
          <w:marLeft w:val="1267"/>
          <w:marRight w:val="0"/>
          <w:marTop w:val="115"/>
          <w:marBottom w:val="0"/>
          <w:divBdr>
            <w:top w:val="none" w:sz="0" w:space="0" w:color="auto"/>
            <w:left w:val="none" w:sz="0" w:space="0" w:color="auto"/>
            <w:bottom w:val="none" w:sz="0" w:space="0" w:color="auto"/>
            <w:right w:val="none" w:sz="0" w:space="0" w:color="auto"/>
          </w:divBdr>
        </w:div>
        <w:div w:id="2039817196">
          <w:marLeft w:val="1267"/>
          <w:marRight w:val="0"/>
          <w:marTop w:val="115"/>
          <w:marBottom w:val="0"/>
          <w:divBdr>
            <w:top w:val="none" w:sz="0" w:space="0" w:color="auto"/>
            <w:left w:val="none" w:sz="0" w:space="0" w:color="auto"/>
            <w:bottom w:val="none" w:sz="0" w:space="0" w:color="auto"/>
            <w:right w:val="none" w:sz="0" w:space="0" w:color="auto"/>
          </w:divBdr>
        </w:div>
        <w:div w:id="349450565">
          <w:marLeft w:val="1267"/>
          <w:marRight w:val="0"/>
          <w:marTop w:val="115"/>
          <w:marBottom w:val="0"/>
          <w:divBdr>
            <w:top w:val="none" w:sz="0" w:space="0" w:color="auto"/>
            <w:left w:val="none" w:sz="0" w:space="0" w:color="auto"/>
            <w:bottom w:val="none" w:sz="0" w:space="0" w:color="auto"/>
            <w:right w:val="none" w:sz="0" w:space="0" w:color="auto"/>
          </w:divBdr>
        </w:div>
      </w:divsChild>
    </w:div>
    <w:div w:id="1498109508">
      <w:bodyDiv w:val="1"/>
      <w:marLeft w:val="0"/>
      <w:marRight w:val="0"/>
      <w:marTop w:val="0"/>
      <w:marBottom w:val="0"/>
      <w:divBdr>
        <w:top w:val="none" w:sz="0" w:space="0" w:color="auto"/>
        <w:left w:val="none" w:sz="0" w:space="0" w:color="auto"/>
        <w:bottom w:val="none" w:sz="0" w:space="0" w:color="auto"/>
        <w:right w:val="none" w:sz="0" w:space="0" w:color="auto"/>
      </w:divBdr>
    </w:div>
    <w:div w:id="1514808492">
      <w:bodyDiv w:val="1"/>
      <w:marLeft w:val="0"/>
      <w:marRight w:val="0"/>
      <w:marTop w:val="0"/>
      <w:marBottom w:val="0"/>
      <w:divBdr>
        <w:top w:val="none" w:sz="0" w:space="0" w:color="auto"/>
        <w:left w:val="none" w:sz="0" w:space="0" w:color="auto"/>
        <w:bottom w:val="none" w:sz="0" w:space="0" w:color="auto"/>
        <w:right w:val="none" w:sz="0" w:space="0" w:color="auto"/>
      </w:divBdr>
    </w:div>
    <w:div w:id="1563177992">
      <w:bodyDiv w:val="1"/>
      <w:marLeft w:val="0"/>
      <w:marRight w:val="0"/>
      <w:marTop w:val="0"/>
      <w:marBottom w:val="0"/>
      <w:divBdr>
        <w:top w:val="none" w:sz="0" w:space="0" w:color="auto"/>
        <w:left w:val="none" w:sz="0" w:space="0" w:color="auto"/>
        <w:bottom w:val="none" w:sz="0" w:space="0" w:color="auto"/>
        <w:right w:val="none" w:sz="0" w:space="0" w:color="auto"/>
      </w:divBdr>
    </w:div>
    <w:div w:id="195424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7.xlsx"/><Relationship Id="rId21" Type="http://schemas.openxmlformats.org/officeDocument/2006/relationships/package" Target="embeddings/Microsoft_Excel_Worksheet3.xlsx"/><Relationship Id="rId42" Type="http://schemas.openxmlformats.org/officeDocument/2006/relationships/package" Target="embeddings/Microsoft_Excel_Worksheet11.xlsx"/><Relationship Id="rId47" Type="http://schemas.openxmlformats.org/officeDocument/2006/relationships/image" Target="media/image25.emf"/><Relationship Id="rId63" Type="http://schemas.openxmlformats.org/officeDocument/2006/relationships/package" Target="embeddings/Microsoft_Excel_Worksheet21.xlsx"/><Relationship Id="rId68" Type="http://schemas.openxmlformats.org/officeDocument/2006/relationships/image" Target="media/image35.emf"/><Relationship Id="rId84" Type="http://schemas.openxmlformats.org/officeDocument/2006/relationships/package" Target="embeddings/Microsoft_Excel_Worksheet31.xlsx"/><Relationship Id="rId89" Type="http://schemas.openxmlformats.org/officeDocument/2006/relationships/footer" Target="footer1.xml"/><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image" Target="media/image17.emf"/><Relationship Id="rId37"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package" Target="embeddings/Microsoft_Excel_Worksheet19.xlsx"/><Relationship Id="rId74" Type="http://schemas.openxmlformats.org/officeDocument/2006/relationships/package" Target="embeddings/Microsoft_Excel_Worksheet26.xlsx"/><Relationship Id="rId79" Type="http://schemas.openxmlformats.org/officeDocument/2006/relationships/image" Target="media/image41.emf"/><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emf"/><Relationship Id="rId22" Type="http://schemas.openxmlformats.org/officeDocument/2006/relationships/chart" Target="charts/chart1.xml"/><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comments" Target="comments.xml"/><Relationship Id="rId43" Type="http://schemas.openxmlformats.org/officeDocument/2006/relationships/image" Target="media/image23.emf"/><Relationship Id="rId48" Type="http://schemas.openxmlformats.org/officeDocument/2006/relationships/package" Target="embeddings/Microsoft_Excel_Worksheet14.xlsx"/><Relationship Id="rId56" Type="http://schemas.openxmlformats.org/officeDocument/2006/relationships/package" Target="embeddings/Microsoft_Excel_Worksheet18.xlsx"/><Relationship Id="rId64" Type="http://schemas.openxmlformats.org/officeDocument/2006/relationships/image" Target="media/image33.emf"/><Relationship Id="rId69" Type="http://schemas.openxmlformats.org/officeDocument/2006/relationships/image" Target="media/image36.emf"/><Relationship Id="rId77" Type="http://schemas.openxmlformats.org/officeDocument/2006/relationships/image" Target="media/image40.emf"/><Relationship Id="rId8" Type="http://schemas.openxmlformats.org/officeDocument/2006/relationships/image" Target="media/image1.emf"/><Relationship Id="rId51" Type="http://schemas.openxmlformats.org/officeDocument/2006/relationships/image" Target="media/image27.emf"/><Relationship Id="rId72" Type="http://schemas.openxmlformats.org/officeDocument/2006/relationships/package" Target="embeddings/Microsoft_Excel_Worksheet25.xlsx"/><Relationship Id="rId80" Type="http://schemas.openxmlformats.org/officeDocument/2006/relationships/package" Target="embeddings/Microsoft_Excel_Worksheet29.xlsx"/><Relationship Id="rId85"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package" Target="embeddings/Microsoft_Excel_Worksheet1.xlsx"/><Relationship Id="rId25" Type="http://schemas.openxmlformats.org/officeDocument/2006/relationships/image" Target="media/image12.emf"/><Relationship Id="rId33" Type="http://schemas.openxmlformats.org/officeDocument/2006/relationships/image" Target="media/image18.jpeg"/><Relationship Id="rId38" Type="http://schemas.openxmlformats.org/officeDocument/2006/relationships/package" Target="embeddings/Microsoft_Excel_Worksheet9.xlsx"/><Relationship Id="rId46" Type="http://schemas.openxmlformats.org/officeDocument/2006/relationships/package" Target="embeddings/Microsoft_Excel_Worksheet13.xlsx"/><Relationship Id="rId59" Type="http://schemas.openxmlformats.org/officeDocument/2006/relationships/hyperlink" Target="http://www.drs.wa.gov/administration" TargetMode="External"/><Relationship Id="rId67" Type="http://schemas.openxmlformats.org/officeDocument/2006/relationships/package" Target="embeddings/Microsoft_Excel_Worksheet23.xlsx"/><Relationship Id="rId20" Type="http://schemas.openxmlformats.org/officeDocument/2006/relationships/image" Target="media/image11.emf"/><Relationship Id="rId41" Type="http://schemas.openxmlformats.org/officeDocument/2006/relationships/image" Target="media/image22.emf"/><Relationship Id="rId54" Type="http://schemas.openxmlformats.org/officeDocument/2006/relationships/package" Target="embeddings/Microsoft_Excel_Worksheet17.xlsx"/><Relationship Id="rId62" Type="http://schemas.openxmlformats.org/officeDocument/2006/relationships/image" Target="media/image32.emf"/><Relationship Id="rId70" Type="http://schemas.openxmlformats.org/officeDocument/2006/relationships/package" Target="embeddings/Microsoft_Excel_Worksheet24.xlsx"/><Relationship Id="rId75" Type="http://schemas.openxmlformats.org/officeDocument/2006/relationships/image" Target="media/image39.emf"/><Relationship Id="rId83" Type="http://schemas.openxmlformats.org/officeDocument/2006/relationships/image" Target="media/image43.emf"/><Relationship Id="rId88" Type="http://schemas.openxmlformats.org/officeDocument/2006/relationships/package" Target="embeddings/Microsoft_Excel_Worksheet33.xlsx"/><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hart" Target="charts/chart2.xml"/><Relationship Id="rId28" Type="http://schemas.openxmlformats.org/officeDocument/2006/relationships/package" Target="embeddings/Microsoft_Excel_Worksheet8.xlsx"/><Relationship Id="rId36" Type="http://schemas.microsoft.com/office/2011/relationships/commentsExtended" Target="commentsExtended.xml"/><Relationship Id="rId49" Type="http://schemas.openxmlformats.org/officeDocument/2006/relationships/image" Target="media/image26.emf"/><Relationship Id="rId57" Type="http://schemas.openxmlformats.org/officeDocument/2006/relationships/image" Target="media/image30.emf"/><Relationship Id="rId10" Type="http://schemas.openxmlformats.org/officeDocument/2006/relationships/image" Target="media/image3.emf"/><Relationship Id="rId31" Type="http://schemas.openxmlformats.org/officeDocument/2006/relationships/image" Target="media/image16.emf"/><Relationship Id="rId44" Type="http://schemas.openxmlformats.org/officeDocument/2006/relationships/package" Target="embeddings/Microsoft_Excel_Worksheet12.xlsx"/><Relationship Id="rId52" Type="http://schemas.openxmlformats.org/officeDocument/2006/relationships/package" Target="embeddings/Microsoft_Excel_Worksheet16.xlsx"/><Relationship Id="rId60" Type="http://schemas.openxmlformats.org/officeDocument/2006/relationships/image" Target="media/image31.emf"/><Relationship Id="rId65" Type="http://schemas.openxmlformats.org/officeDocument/2006/relationships/package" Target="embeddings/Microsoft_Excel_Worksheet22.xlsx"/><Relationship Id="rId73" Type="http://schemas.openxmlformats.org/officeDocument/2006/relationships/image" Target="media/image38.emf"/><Relationship Id="rId78" Type="http://schemas.openxmlformats.org/officeDocument/2006/relationships/package" Target="embeddings/Microsoft_Excel_Worksheet28.xlsx"/><Relationship Id="rId81" Type="http://schemas.openxmlformats.org/officeDocument/2006/relationships/image" Target="media/image42.emf"/><Relationship Id="rId86" Type="http://schemas.openxmlformats.org/officeDocument/2006/relationships/package" Target="embeddings/Microsoft_Excel_Worksheet32.xlsx"/><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emf"/><Relationship Id="rId18" Type="http://schemas.openxmlformats.org/officeDocument/2006/relationships/image" Target="media/image10.emf"/><Relationship Id="rId39" Type="http://schemas.openxmlformats.org/officeDocument/2006/relationships/image" Target="media/image21.emf"/><Relationship Id="rId34" Type="http://schemas.openxmlformats.org/officeDocument/2006/relationships/image" Target="media/image19.jpeg"/><Relationship Id="rId50" Type="http://schemas.openxmlformats.org/officeDocument/2006/relationships/package" Target="embeddings/Microsoft_Excel_Worksheet15.xlsx"/><Relationship Id="rId55" Type="http://schemas.openxmlformats.org/officeDocument/2006/relationships/image" Target="media/image29.emf"/><Relationship Id="rId76" Type="http://schemas.openxmlformats.org/officeDocument/2006/relationships/package" Target="embeddings/Microsoft_Excel_Worksheet27.xlsx"/><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chart" Target="charts/chart3.xml"/><Relationship Id="rId40" Type="http://schemas.openxmlformats.org/officeDocument/2006/relationships/package" Target="embeddings/Microsoft_Excel_Worksheet10.xlsx"/><Relationship Id="rId45" Type="http://schemas.openxmlformats.org/officeDocument/2006/relationships/image" Target="media/image24.emf"/><Relationship Id="rId66" Type="http://schemas.openxmlformats.org/officeDocument/2006/relationships/image" Target="media/image34.emf"/><Relationship Id="rId87" Type="http://schemas.openxmlformats.org/officeDocument/2006/relationships/image" Target="media/image45.emf"/><Relationship Id="rId61" Type="http://schemas.openxmlformats.org/officeDocument/2006/relationships/package" Target="embeddings/Microsoft_Excel_Worksheet20.xlsx"/><Relationship Id="rId82" Type="http://schemas.openxmlformats.org/officeDocument/2006/relationships/package" Target="embeddings/Microsoft_Excel_Worksheet30.xlsx"/><Relationship Id="rId19" Type="http://schemas.openxmlformats.org/officeDocument/2006/relationships/package" Target="embeddings/Microsoft_Excel_Worksheet2.xlsx"/></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4" b="0" i="0" u="none" strike="noStrike" baseline="0">
                <a:solidFill>
                  <a:srgbClr val="000000"/>
                </a:solidFill>
                <a:latin typeface="Calibri"/>
                <a:ea typeface="Calibri"/>
                <a:cs typeface="Calibri"/>
              </a:defRPr>
            </a:pPr>
            <a:r>
              <a:rPr lang="en-US" sz="1797" b="1" i="0" u="none" strike="noStrike" baseline="0">
                <a:solidFill>
                  <a:srgbClr val="000000"/>
                </a:solidFill>
                <a:latin typeface="Times New Roman"/>
                <a:cs typeface="Times New Roman"/>
              </a:rPr>
              <a:t>Selected Elements of Revenue</a:t>
            </a:r>
          </a:p>
          <a:p>
            <a:pPr>
              <a:defRPr sz="994" b="0" i="0" u="none" strike="noStrike" baseline="0">
                <a:solidFill>
                  <a:srgbClr val="000000"/>
                </a:solidFill>
                <a:latin typeface="Calibri"/>
                <a:ea typeface="Calibri"/>
                <a:cs typeface="Calibri"/>
              </a:defRPr>
            </a:pPr>
            <a:r>
              <a:rPr lang="en-US" sz="998" b="0" i="0" u="none" strike="noStrike" baseline="0">
                <a:solidFill>
                  <a:srgbClr val="000000"/>
                </a:solidFill>
                <a:latin typeface="Times New Roman"/>
                <a:cs typeface="Times New Roman"/>
              </a:rPr>
              <a:t>For the Years Ended June 30, 2017  and 2016</a:t>
            </a:r>
          </a:p>
          <a:p>
            <a:pPr>
              <a:defRPr sz="994" b="0" i="0" u="none" strike="noStrike" baseline="0">
                <a:solidFill>
                  <a:srgbClr val="000000"/>
                </a:solidFill>
                <a:latin typeface="Calibri"/>
                <a:ea typeface="Calibri"/>
                <a:cs typeface="Calibri"/>
              </a:defRPr>
            </a:pPr>
            <a:r>
              <a:rPr lang="en-US" sz="998" b="0" i="0" u="none" strike="noStrike" baseline="0">
                <a:solidFill>
                  <a:srgbClr val="000000"/>
                </a:solidFill>
                <a:latin typeface="Times New Roman"/>
                <a:cs typeface="Times New Roman"/>
              </a:rPr>
              <a:t>Note:  For purposes of this chart, tuition and fees reflect amounts collected and may include amounts students paid with Pell Grant Proceeds</a:t>
            </a:r>
          </a:p>
        </c:rich>
      </c:tx>
      <c:layout/>
      <c:overlay val="0"/>
    </c:title>
    <c:autoTitleDeleted val="0"/>
    <c:plotArea>
      <c:layout/>
      <c:barChart>
        <c:barDir val="col"/>
        <c:grouping val="clustered"/>
        <c:varyColors val="0"/>
        <c:ser>
          <c:idx val="0"/>
          <c:order val="0"/>
          <c:tx>
            <c:strRef>
              <c:f>Sheet1!$B$1</c:f>
              <c:strCache>
                <c:ptCount val="1"/>
                <c:pt idx="0">
                  <c:v>FY 2017</c:v>
                </c:pt>
              </c:strCache>
            </c:strRef>
          </c:tx>
          <c:invertIfNegative val="0"/>
          <c:cat>
            <c:strRef>
              <c:f>Sheet1!$A$2:$A$7</c:f>
              <c:strCache>
                <c:ptCount val="6"/>
                <c:pt idx="0">
                  <c:v>State Appropriations</c:v>
                </c:pt>
                <c:pt idx="1">
                  <c:v>Tuition &amp; Fees Collected</c:v>
                </c:pt>
                <c:pt idx="2">
                  <c:v>Pell Grants</c:v>
                </c:pt>
                <c:pt idx="3">
                  <c:v>Grants &amp; Contracts</c:v>
                </c:pt>
                <c:pt idx="4">
                  <c:v>Auxiliary Enterprise Sales</c:v>
                </c:pt>
                <c:pt idx="5">
                  <c:v>Capital Appropriations</c:v>
                </c:pt>
              </c:strCache>
            </c:strRef>
          </c:cat>
          <c:val>
            <c:numRef>
              <c:f>Sheet1!$B$2:$B$7</c:f>
              <c:numCache>
                <c:formatCode>_(* #,##0_);_(* \(#,##0\);_(* "-"??_);_(@_)</c:formatCode>
                <c:ptCount val="6"/>
                <c:pt idx="0">
                  <c:v>19883352</c:v>
                </c:pt>
                <c:pt idx="1">
                  <c:v>13065065</c:v>
                </c:pt>
                <c:pt idx="2">
                  <c:v>5417283</c:v>
                </c:pt>
                <c:pt idx="3">
                  <c:v>16555510</c:v>
                </c:pt>
                <c:pt idx="4">
                  <c:v>1754598</c:v>
                </c:pt>
                <c:pt idx="5">
                  <c:v>3575240</c:v>
                </c:pt>
              </c:numCache>
            </c:numRef>
          </c:val>
          <c:extLst xmlns:c16r2="http://schemas.microsoft.com/office/drawing/2015/06/chart">
            <c:ext xmlns:c16="http://schemas.microsoft.com/office/drawing/2014/chart" uri="{C3380CC4-5D6E-409C-BE32-E72D297353CC}">
              <c16:uniqueId val="{00000000-9246-4C53-9A58-BEC3F9A2B9CB}"/>
            </c:ext>
          </c:extLst>
        </c:ser>
        <c:ser>
          <c:idx val="1"/>
          <c:order val="1"/>
          <c:tx>
            <c:strRef>
              <c:f>Sheet1!$C$1</c:f>
              <c:strCache>
                <c:ptCount val="1"/>
                <c:pt idx="0">
                  <c:v>FY 2016        </c:v>
                </c:pt>
              </c:strCache>
            </c:strRef>
          </c:tx>
          <c:invertIfNegative val="0"/>
          <c:cat>
            <c:strRef>
              <c:f>Sheet1!$A$2:$A$7</c:f>
              <c:strCache>
                <c:ptCount val="6"/>
                <c:pt idx="0">
                  <c:v>State Appropriations</c:v>
                </c:pt>
                <c:pt idx="1">
                  <c:v>Tuition &amp; Fees Collected</c:v>
                </c:pt>
                <c:pt idx="2">
                  <c:v>Pell Grants</c:v>
                </c:pt>
                <c:pt idx="3">
                  <c:v>Grants &amp; Contracts</c:v>
                </c:pt>
                <c:pt idx="4">
                  <c:v>Auxiliary Enterprise Sales</c:v>
                </c:pt>
                <c:pt idx="5">
                  <c:v>Capital Appropriations</c:v>
                </c:pt>
              </c:strCache>
            </c:strRef>
          </c:cat>
          <c:val>
            <c:numRef>
              <c:f>Sheet1!$C$2:$C$7</c:f>
              <c:numCache>
                <c:formatCode>_(* #,##0_);_(* \(#,##0\);_(* "-"??_);_(@_)</c:formatCode>
                <c:ptCount val="6"/>
                <c:pt idx="0">
                  <c:v>18657091</c:v>
                </c:pt>
                <c:pt idx="1">
                  <c:v>13591403</c:v>
                </c:pt>
                <c:pt idx="2">
                  <c:v>5468172</c:v>
                </c:pt>
                <c:pt idx="3">
                  <c:v>14781036</c:v>
                </c:pt>
                <c:pt idx="4">
                  <c:v>2026934</c:v>
                </c:pt>
                <c:pt idx="5">
                  <c:v>2837934</c:v>
                </c:pt>
              </c:numCache>
            </c:numRef>
          </c:val>
          <c:extLst xmlns:c16r2="http://schemas.microsoft.com/office/drawing/2015/06/chart">
            <c:ext xmlns:c16="http://schemas.microsoft.com/office/drawing/2014/chart" uri="{C3380CC4-5D6E-409C-BE32-E72D297353CC}">
              <c16:uniqueId val="{00000001-9246-4C53-9A58-BEC3F9A2B9CB}"/>
            </c:ext>
          </c:extLst>
        </c:ser>
        <c:dLbls>
          <c:showLegendKey val="0"/>
          <c:showVal val="0"/>
          <c:showCatName val="0"/>
          <c:showSerName val="0"/>
          <c:showPercent val="0"/>
          <c:showBubbleSize val="0"/>
        </c:dLbls>
        <c:gapWidth val="150"/>
        <c:axId val="35223664"/>
        <c:axId val="35224224"/>
      </c:barChart>
      <c:catAx>
        <c:axId val="35223664"/>
        <c:scaling>
          <c:orientation val="minMax"/>
        </c:scaling>
        <c:delete val="0"/>
        <c:axPos val="b"/>
        <c:numFmt formatCode="General" sourceLinked="1"/>
        <c:majorTickMark val="out"/>
        <c:minorTickMark val="none"/>
        <c:tickLblPos val="nextTo"/>
        <c:txPr>
          <a:bodyPr rot="-2700000" vert="horz"/>
          <a:lstStyle/>
          <a:p>
            <a:pPr>
              <a:defRPr sz="998" b="0" i="0" u="none" strike="noStrike" baseline="0">
                <a:solidFill>
                  <a:srgbClr val="000000"/>
                </a:solidFill>
                <a:latin typeface="Calibri"/>
                <a:ea typeface="Calibri"/>
                <a:cs typeface="Calibri"/>
              </a:defRPr>
            </a:pPr>
            <a:endParaRPr lang="en-US"/>
          </a:p>
        </c:txPr>
        <c:crossAx val="35224224"/>
        <c:crosses val="autoZero"/>
        <c:auto val="1"/>
        <c:lblAlgn val="ctr"/>
        <c:lblOffset val="100"/>
        <c:noMultiLvlLbl val="0"/>
      </c:catAx>
      <c:valAx>
        <c:axId val="35224224"/>
        <c:scaling>
          <c:orientation val="minMax"/>
        </c:scaling>
        <c:delete val="0"/>
        <c:axPos val="l"/>
        <c:majorGridlines/>
        <c:numFmt formatCode="_(* #,##0_);_(* \(#,##0\);_(* &quot;-&quot;??_);_(@_)"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35223664"/>
        <c:crosses val="autoZero"/>
        <c:crossBetween val="between"/>
      </c:valAx>
    </c:plotArea>
    <c:legend>
      <c:legendPos val="r"/>
      <c:layout>
        <c:manualLayout>
          <c:xMode val="edge"/>
          <c:yMode val="edge"/>
          <c:x val="0.82222211286089242"/>
          <c:y val="0.53047619047619043"/>
          <c:w val="0.17437795275590551"/>
          <c:h val="0.13714285714285712"/>
        </c:manualLayout>
      </c:layout>
      <c:overlay val="0"/>
      <c:txPr>
        <a:bodyPr/>
        <a:lstStyle/>
        <a:p>
          <a:pPr>
            <a:defRPr sz="919"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ln>
                  <a:noFill/>
                </a:ln>
                <a:solidFill>
                  <a:schemeClr val="tx1">
                    <a:lumMod val="65000"/>
                    <a:lumOff val="35000"/>
                  </a:schemeClr>
                </a:solidFill>
                <a:latin typeface="+mn-lt"/>
                <a:ea typeface="+mn-ea"/>
                <a:cs typeface="+mn-cs"/>
              </a:defRPr>
            </a:pPr>
            <a:r>
              <a:rPr lang="en-US"/>
              <a:t>FY 2016</a:t>
            </a:r>
          </a:p>
          <a:p>
            <a:pPr>
              <a:defRPr sz="1600" b="1" i="0" u="none" strike="noStrike" kern="1200" baseline="0">
                <a:ln>
                  <a:noFill/>
                </a:ln>
                <a:solidFill>
                  <a:schemeClr val="tx1">
                    <a:lumMod val="65000"/>
                    <a:lumOff val="35000"/>
                  </a:schemeClr>
                </a:solidFill>
                <a:latin typeface="+mn-lt"/>
                <a:ea typeface="+mn-ea"/>
                <a:cs typeface="+mn-cs"/>
              </a:defRPr>
            </a:pPr>
            <a:endParaRPr lang="en-US"/>
          </a:p>
        </c:rich>
      </c:tx>
      <c:layout>
        <c:manualLayout>
          <c:xMode val="edge"/>
          <c:yMode val="edge"/>
          <c:x val="5.0397431285556293E-2"/>
          <c:y val="3.3130866924351188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43071012771448"/>
          <c:y val="0.31871345258899997"/>
          <c:w val="0.47726594231586972"/>
          <c:h val="0.66202446639307244"/>
        </c:manualLayout>
      </c:layout>
      <c:pie3DChart>
        <c:varyColors val="1"/>
        <c:ser>
          <c:idx val="0"/>
          <c:order val="0"/>
          <c:tx>
            <c:strRef>
              <c:f>Sheet1!$B$1</c:f>
              <c:strCache>
                <c:ptCount val="1"/>
                <c:pt idx="0">
                  <c:v>FY 2015</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935E-4AB4-851B-0EE8B7A3B76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935E-4AB4-851B-0EE8B7A3B76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935E-4AB4-851B-0EE8B7A3B76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935E-4AB4-851B-0EE8B7A3B762}"/>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935E-4AB4-851B-0EE8B7A3B762}"/>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935E-4AB4-851B-0EE8B7A3B762}"/>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935E-4AB4-851B-0EE8B7A3B762}"/>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935E-4AB4-851B-0EE8B7A3B762}"/>
              </c:ext>
            </c:extLst>
          </c:dPt>
          <c:dLbls>
            <c:dLbl>
              <c:idx val="0"/>
              <c:layout>
                <c:manualLayout>
                  <c:x val="-7.6923076923076927E-2"/>
                  <c:y val="-9.313725490196087E-2"/>
                </c:manualLayout>
              </c:layout>
              <c:tx>
                <c:rich>
                  <a:bodyPr/>
                  <a:lstStyle/>
                  <a:p>
                    <a:fld id="{7F8E5769-9C38-492B-807E-0ABBB7F013C1}"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935E-4AB4-851B-0EE8B7A3B762}"/>
                </c:ext>
                <c:ext xmlns:c15="http://schemas.microsoft.com/office/drawing/2012/chart" uri="{CE6537A1-D6FC-4f65-9D91-7224C49458BB}">
                  <c15:layout/>
                  <c15:dlblFieldTable/>
                  <c15:showDataLabelsRange val="1"/>
                </c:ext>
              </c:extLst>
            </c:dLbl>
            <c:dLbl>
              <c:idx val="1"/>
              <c:layout/>
              <c:tx>
                <c:rich>
                  <a:bodyPr/>
                  <a:lstStyle/>
                  <a:p>
                    <a:fld id="{BAA1B195-9D3C-48D8-BE7A-40F1786FBE2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F44549E8-D3FA-4958-98C8-9E6B08B259D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manualLayout>
                  <c:x val="-1.5090518643847205E-2"/>
                  <c:y val="-9.3819713799348625E-3"/>
                </c:manualLayout>
              </c:layout>
              <c:tx>
                <c:rich>
                  <a:bodyPr/>
                  <a:lstStyle/>
                  <a:p>
                    <a:fld id="{1511DAF7-705B-4BFC-A380-9775A8CF0727}"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935E-4AB4-851B-0EE8B7A3B762}"/>
                </c:ext>
                <c:ext xmlns:c15="http://schemas.microsoft.com/office/drawing/2012/chart" uri="{CE6537A1-D6FC-4f65-9D91-7224C49458BB}">
                  <c15:layout/>
                  <c15:dlblFieldTable/>
                  <c15:showDataLabelsRange val="1"/>
                </c:ext>
              </c:extLst>
            </c:dLbl>
            <c:dLbl>
              <c:idx val="4"/>
              <c:layout>
                <c:manualLayout>
                  <c:x val="-1.2607751442237249E-2"/>
                  <c:y val="-4.2551859372078768E-2"/>
                </c:manualLayout>
              </c:layout>
              <c:tx>
                <c:rich>
                  <a:bodyPr/>
                  <a:lstStyle/>
                  <a:p>
                    <a:fld id="{77FC967A-DB72-473C-A25F-F069470FA913}"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935E-4AB4-851B-0EE8B7A3B762}"/>
                </c:ext>
                <c:ext xmlns:c15="http://schemas.microsoft.com/office/drawing/2012/chart" uri="{CE6537A1-D6FC-4f65-9D91-7224C49458BB}">
                  <c15:layout/>
                  <c15:dlblFieldTable/>
                  <c15:showDataLabelsRange val="1"/>
                </c:ext>
              </c:extLst>
            </c:dLbl>
            <c:dLbl>
              <c:idx val="5"/>
              <c:layout>
                <c:manualLayout>
                  <c:x val="1.5426997245179064E-2"/>
                  <c:y val="-4.935834155972358E-2"/>
                </c:manualLayout>
              </c:layout>
              <c:tx>
                <c:rich>
                  <a:bodyPr/>
                  <a:lstStyle/>
                  <a:p>
                    <a:fld id="{A30AF563-1285-44A9-B693-9D7DEE37DF1C}"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935E-4AB4-851B-0EE8B7A3B762}"/>
                </c:ext>
                <c:ext xmlns:c15="http://schemas.microsoft.com/office/drawing/2012/chart" uri="{CE6537A1-D6FC-4f65-9D91-7224C49458BB}">
                  <c15:layout/>
                  <c15:dlblFieldTable/>
                  <c15:showDataLabelsRange val="1"/>
                </c:ext>
              </c:extLst>
            </c:dLbl>
            <c:dLbl>
              <c:idx val="6"/>
              <c:layout>
                <c:manualLayout>
                  <c:x val="5.1994750656167939E-2"/>
                  <c:y val="-7.059077361092575E-2"/>
                </c:manualLayout>
              </c:layout>
              <c:tx>
                <c:rich>
                  <a:bodyPr/>
                  <a:lstStyle/>
                  <a:p>
                    <a:fld id="{59633132-8C43-4166-9B32-74DB4B023A51}"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935E-4AB4-851B-0EE8B7A3B762}"/>
                </c:ext>
                <c:ext xmlns:c15="http://schemas.microsoft.com/office/drawing/2012/chart" uri="{CE6537A1-D6FC-4f65-9D91-7224C49458BB}">
                  <c15:layout/>
                  <c15:dlblFieldTable/>
                  <c15:showDataLabelsRange val="1"/>
                </c:ext>
              </c:extLst>
            </c:dLbl>
            <c:dLbl>
              <c:idx val="7"/>
              <c:layout>
                <c:manualLayout>
                  <c:x val="0.10090859012993746"/>
                  <c:y val="-2.9435917967881132E-2"/>
                </c:manualLayout>
              </c:layout>
              <c:tx>
                <c:rich>
                  <a:bodyPr/>
                  <a:lstStyle/>
                  <a:p>
                    <a:fld id="{041EE691-6B92-4B2C-A4E3-E9AC798AEABC}"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935E-4AB4-851B-0EE8B7A3B762}"/>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1"/>
            <c:extLst xmlns:c16r2="http://schemas.microsoft.com/office/drawing/2015/06/chart">
              <c:ext xmlns:c15="http://schemas.microsoft.com/office/drawing/2012/chart" uri="{CE6537A1-D6FC-4f65-9D91-7224C49458BB}">
                <c15:layout/>
                <c15:showDataLabelsRange val="1"/>
              </c:ext>
            </c:extLst>
          </c:dLbls>
          <c:cat>
            <c:strRef>
              <c:f>Sheet1!$A$2:$A$9</c:f>
              <c:strCache>
                <c:ptCount val="8"/>
                <c:pt idx="0">
                  <c:v>Salaries and Wages, $27,898,231</c:v>
                </c:pt>
                <c:pt idx="1">
                  <c:v>Benefits, $8,808,602</c:v>
                </c:pt>
                <c:pt idx="2">
                  <c:v>Scholarships, net, $7,309,529</c:v>
                </c:pt>
                <c:pt idx="3">
                  <c:v>Other Expenses, $6,020,538</c:v>
                </c:pt>
                <c:pt idx="4">
                  <c:v>Depreciation, $2,656,581</c:v>
                </c:pt>
                <c:pt idx="5">
                  <c:v>Purchased Services, $2,642,513</c:v>
                </c:pt>
                <c:pt idx="6">
                  <c:v>Supplies and Materials, $2,604,243</c:v>
                </c:pt>
                <c:pt idx="7">
                  <c:v>Utilities, $995,914</c:v>
                </c:pt>
              </c:strCache>
            </c:strRef>
          </c:cat>
          <c:val>
            <c:numRef>
              <c:f>Sheet1!$B$2:$B$9</c:f>
              <c:numCache>
                <c:formatCode>_(* #,##0_);_(* \(#,##0\);_(* "-"??_);_(@_)</c:formatCode>
                <c:ptCount val="8"/>
                <c:pt idx="0" formatCode="_(&quot;$&quot;* #,##0_);_(&quot;$&quot;* \(#,##0\);_(&quot;$&quot;* &quot;-&quot;??_);_(@_)">
                  <c:v>27898231</c:v>
                </c:pt>
                <c:pt idx="1">
                  <c:v>8808602</c:v>
                </c:pt>
                <c:pt idx="2">
                  <c:v>7309529</c:v>
                </c:pt>
                <c:pt idx="3">
                  <c:v>6020538</c:v>
                </c:pt>
                <c:pt idx="4">
                  <c:v>2656581</c:v>
                </c:pt>
                <c:pt idx="5">
                  <c:v>2642513</c:v>
                </c:pt>
                <c:pt idx="6">
                  <c:v>2604243</c:v>
                </c:pt>
                <c:pt idx="7">
                  <c:v>995914</c:v>
                </c:pt>
              </c:numCache>
            </c:numRef>
          </c:val>
          <c:extLst xmlns:c16r2="http://schemas.microsoft.com/office/drawing/2015/06/chart">
            <c:ext xmlns:c16="http://schemas.microsoft.com/office/drawing/2014/chart" uri="{C3380CC4-5D6E-409C-BE32-E72D297353CC}">
              <c16:uniqueId val="{00000010-935E-4AB4-851B-0EE8B7A3B762}"/>
            </c:ext>
            <c:ext xmlns:c15="http://schemas.microsoft.com/office/drawing/2012/chart" uri="{02D57815-91ED-43cb-92C2-25804820EDAC}">
              <c15:datalabelsRange>
                <c15:f>Sheet1!$C$2:$C$9</c15:f>
                <c15:dlblRangeCache>
                  <c:ptCount val="8"/>
                  <c:pt idx="0">
                    <c:v>47%</c:v>
                  </c:pt>
                  <c:pt idx="1">
                    <c:v>15%</c:v>
                  </c:pt>
                  <c:pt idx="2">
                    <c:v>12%</c:v>
                  </c:pt>
                  <c:pt idx="3">
                    <c:v>10%</c:v>
                  </c:pt>
                  <c:pt idx="4">
                    <c:v>5%</c:v>
                  </c:pt>
                  <c:pt idx="5">
                    <c:v>4%</c:v>
                  </c:pt>
                  <c:pt idx="6">
                    <c:v>4%</c:v>
                  </c:pt>
                  <c:pt idx="7">
                    <c:v>2%</c:v>
                  </c:pt>
                </c15:dlblRangeCache>
              </c15:datalabelsRange>
            </c:ext>
          </c:extLst>
        </c:ser>
        <c:dLbls>
          <c:showLegendKey val="0"/>
          <c:showVal val="0"/>
          <c:showCatName val="0"/>
          <c:showSerName val="0"/>
          <c:showPercent val="0"/>
          <c:showBubbleSize val="0"/>
          <c:showLeaderLines val="1"/>
        </c:dLbls>
        <c:extLst xmlns:c16r2="http://schemas.microsoft.com/office/drawing/2015/06/chart">
          <c:ext xmlns:c15="http://schemas.microsoft.com/office/drawing/2012/chart" uri="{02D57815-91ED-43cb-92C2-25804820EDAC}">
            <c15:filteredPieSeries>
              <c15:ser>
                <c:idx val="1"/>
                <c:order val="1"/>
                <c:tx>
                  <c:strRef>
                    <c:extLst xmlns:c16r2="http://schemas.microsoft.com/office/drawing/2015/06/chart">
                      <c:ext uri="{02D57815-91ED-43cb-92C2-25804820EDAC}">
                        <c15:formulaRef>
                          <c15:sqref>Sheet1!$C$1</c15:sqref>
                        </c15:formulaRef>
                      </c:ext>
                    </c:extLst>
                    <c:strCache>
                      <c:ptCount val="1"/>
                      <c:pt idx="0">
                        <c:v>FY 20142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2-935E-4AB4-851B-0EE8B7A3B76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4-935E-4AB4-851B-0EE8B7A3B76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6-935E-4AB4-851B-0EE8B7A3B76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8-935E-4AB4-851B-0EE8B7A3B762}"/>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A-935E-4AB4-851B-0EE8B7A3B762}"/>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C-935E-4AB4-851B-0EE8B7A3B762}"/>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E-935E-4AB4-851B-0EE8B7A3B762}"/>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0-935E-4AB4-851B-0EE8B7A3B7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Sheet1!$A$2:$A$9</c15:sqref>
                        </c15:formulaRef>
                      </c:ext>
                    </c:extLst>
                    <c:strCache>
                      <c:ptCount val="8"/>
                      <c:pt idx="0">
                        <c:v>Salaries and Wages, $27,898,231</c:v>
                      </c:pt>
                      <c:pt idx="1">
                        <c:v>Benefits, $8,808,602</c:v>
                      </c:pt>
                      <c:pt idx="2">
                        <c:v>Scholarships, net, $7,309,529</c:v>
                      </c:pt>
                      <c:pt idx="3">
                        <c:v>Other Expenses, $6,020,538</c:v>
                      </c:pt>
                      <c:pt idx="4">
                        <c:v>Depreciation, $2,656,581</c:v>
                      </c:pt>
                      <c:pt idx="5">
                        <c:v>Purchased Services, $2,642,513</c:v>
                      </c:pt>
                      <c:pt idx="6">
                        <c:v>Supplies and Materials, $2,604,243</c:v>
                      </c:pt>
                      <c:pt idx="7">
                        <c:v>Utilities, $995,914</c:v>
                      </c:pt>
                    </c:strCache>
                  </c:strRef>
                </c:cat>
                <c:val>
                  <c:numRef>
                    <c:extLst xmlns:c16r2="http://schemas.microsoft.com/office/drawing/2015/06/chart">
                      <c:ext uri="{02D57815-91ED-43cb-92C2-25804820EDAC}">
                        <c15:formulaRef>
                          <c15:sqref>Sheet1!$C$2:$C$9</c15:sqref>
                        </c15:formulaRef>
                      </c:ext>
                    </c:extLst>
                    <c:numCache>
                      <c:formatCode>0%</c:formatCode>
                      <c:ptCount val="8"/>
                      <c:pt idx="0">
                        <c:v>0.47336364059471747</c:v>
                      </c:pt>
                      <c:pt idx="1">
                        <c:v>0.14946008265792587</c:v>
                      </c:pt>
                      <c:pt idx="2">
                        <c:v>0.1240245397090828</c:v>
                      </c:pt>
                      <c:pt idx="3">
                        <c:v>0.10215356615331056</c:v>
                      </c:pt>
                      <c:pt idx="4">
                        <c:v>4.5075576788175392E-2</c:v>
                      </c:pt>
                      <c:pt idx="5">
                        <c:v>4.4836877793393737E-2</c:v>
                      </c:pt>
                      <c:pt idx="6">
                        <c:v>4.4187531011314264E-2</c:v>
                      </c:pt>
                      <c:pt idx="7">
                        <c:v>1.6898185292079898E-2</c:v>
                      </c:pt>
                    </c:numCache>
                  </c:numRef>
                </c:val>
                <c:extLst xmlns:c16r2="http://schemas.microsoft.com/office/drawing/2015/06/chart">
                  <c:ext xmlns:c16="http://schemas.microsoft.com/office/drawing/2014/chart" uri="{C3380CC4-5D6E-409C-BE32-E72D297353CC}">
                    <c16:uniqueId val="{00000021-935E-4AB4-851B-0EE8B7A3B762}"/>
                  </c:ext>
                </c:extLst>
              </c15:ser>
            </c15:filteredPieSeries>
          </c:ext>
        </c:extLst>
      </c:pie3DChart>
      <c:spPr>
        <a:noFill/>
        <a:ln>
          <a:noFill/>
        </a:ln>
        <a:effectLst/>
      </c:spPr>
    </c:plotArea>
    <c:legend>
      <c:legendPos val="r"/>
      <c:layout>
        <c:manualLayout>
          <c:xMode val="edge"/>
          <c:yMode val="edge"/>
          <c:x val="0.62820304678410044"/>
          <c:y val="3.0169855711041301E-2"/>
          <c:w val="0.33856537485886889"/>
          <c:h val="0.9159658928644282"/>
        </c:manualLayout>
      </c:layout>
      <c:overlay val="0"/>
    </c:legend>
    <c:plotVisOnly val="1"/>
    <c:dispBlanksAs val="gap"/>
    <c:showDLblsOverMax val="0"/>
  </c:chart>
  <c:spPr>
    <a:solidFill>
      <a:schemeClr val="bg1"/>
    </a:solidFill>
    <a:ln w="9525" cap="flat" cmpd="sng" algn="ctr">
      <a:solidFill>
        <a:schemeClr val="accent1"/>
      </a:solidFill>
      <a:round/>
    </a:ln>
    <a:effectLst/>
  </c:spPr>
  <c:txPr>
    <a:bodyPr/>
    <a:lstStyle/>
    <a:p>
      <a:pPr>
        <a:defRPr>
          <a:ln>
            <a:noFill/>
          </a:l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a:defRPr/>
            </a:pPr>
            <a:r>
              <a:rPr lang="en-US"/>
              <a:t>FY 2017 Selected Elements of Expense</a:t>
            </a:r>
          </a:p>
          <a:p>
            <a:pPr algn="ctr">
              <a:defRPr/>
            </a:pPr>
            <a:endParaRPr lang="en-US"/>
          </a:p>
        </c:rich>
      </c:tx>
      <c:layout>
        <c:manualLayout>
          <c:xMode val="edge"/>
          <c:yMode val="edge"/>
          <c:x val="1.9387132868296374E-2"/>
          <c:y val="2.303389272787101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693662048462845E-2"/>
          <c:y val="6.6065018708819576E-2"/>
          <c:w val="0.661370139677814"/>
          <c:h val="0.78475891078586935"/>
        </c:manualLayout>
      </c:layout>
      <c:pie3DChart>
        <c:varyColors val="1"/>
        <c:ser>
          <c:idx val="0"/>
          <c:order val="0"/>
          <c:tx>
            <c:strRef>
              <c:f>Sheet1!$B$1</c:f>
              <c:strCache>
                <c:ptCount val="1"/>
                <c:pt idx="0">
                  <c:v>FY 2017 Selected Elements of Expense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654-43C0-BF9F-9059F7C2B47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3654-43C0-BF9F-9059F7C2B47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3654-43C0-BF9F-9059F7C2B47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3654-43C0-BF9F-9059F7C2B47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3654-43C0-BF9F-9059F7C2B47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3654-43C0-BF9F-9059F7C2B47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3654-43C0-BF9F-9059F7C2B478}"/>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3654-43C0-BF9F-9059F7C2B478}"/>
              </c:ext>
            </c:extLst>
          </c:dPt>
          <c:dLbls>
            <c:dLbl>
              <c:idx val="0"/>
              <c:layout>
                <c:manualLayout>
                  <c:x val="-6.4123825317855251E-2"/>
                  <c:y val="-8.5373509102322664E-2"/>
                </c:manualLayout>
              </c:layout>
              <c:tx>
                <c:rich>
                  <a:bodyPr/>
                  <a:lstStyle/>
                  <a:p>
                    <a:fld id="{40E41CF1-BFB5-4043-B5FA-90FE72566DB7}"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3654-43C0-BF9F-9059F7C2B478}"/>
                </c:ext>
                <c:ext xmlns:c15="http://schemas.microsoft.com/office/drawing/2012/chart" uri="{CE6537A1-D6FC-4f65-9D91-7224C49458BB}">
                  <c15:layout/>
                  <c15:dlblFieldTable/>
                  <c15:showDataLabelsRange val="1"/>
                </c:ext>
              </c:extLst>
            </c:dLbl>
            <c:dLbl>
              <c:idx val="1"/>
              <c:layout/>
              <c:tx>
                <c:rich>
                  <a:bodyPr/>
                  <a:lstStyle/>
                  <a:p>
                    <a:fld id="{31A652F1-D7D4-4E32-9C99-51151B83AF8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6870E7E3-041E-4668-AE2B-FFF7487D1E8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manualLayout>
                  <c:x val="-1.5090518643847205E-2"/>
                  <c:y val="-9.3819713799348625E-3"/>
                </c:manualLayout>
              </c:layout>
              <c:tx>
                <c:rich>
                  <a:bodyPr/>
                  <a:lstStyle/>
                  <a:p>
                    <a:fld id="{ECA85F4E-1C1F-4F00-BD2D-F75CA2914C75}"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3654-43C0-BF9F-9059F7C2B478}"/>
                </c:ext>
                <c:ext xmlns:c15="http://schemas.microsoft.com/office/drawing/2012/chart" uri="{CE6537A1-D6FC-4f65-9D91-7224C49458BB}">
                  <c15:layout/>
                  <c15:dlblFieldTable/>
                  <c15:showDataLabelsRange val="1"/>
                </c:ext>
              </c:extLst>
            </c:dLbl>
            <c:dLbl>
              <c:idx val="4"/>
              <c:layout>
                <c:manualLayout>
                  <c:x val="-1.1878491416782095E-2"/>
                  <c:y val="-3.6109013770538982E-2"/>
                </c:manualLayout>
              </c:layout>
              <c:tx>
                <c:rich>
                  <a:bodyPr/>
                  <a:lstStyle/>
                  <a:p>
                    <a:fld id="{75F96483-82D0-4851-A2F7-6A841986396C}"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3654-43C0-BF9F-9059F7C2B478}"/>
                </c:ext>
                <c:ext xmlns:c15="http://schemas.microsoft.com/office/drawing/2012/chart" uri="{CE6537A1-D6FC-4f65-9D91-7224C49458BB}">
                  <c15:layout/>
                  <c15:dlblFieldTable/>
                  <c15:showDataLabelsRange val="1"/>
                </c:ext>
              </c:extLst>
            </c:dLbl>
            <c:dLbl>
              <c:idx val="5"/>
              <c:layout>
                <c:manualLayout>
                  <c:x val="1.5426997245179064E-2"/>
                  <c:y val="-4.935834155972358E-2"/>
                </c:manualLayout>
              </c:layout>
              <c:tx>
                <c:rich>
                  <a:bodyPr/>
                  <a:lstStyle/>
                  <a:p>
                    <a:fld id="{EE3B709B-5777-4D66-BA83-99B9E60DBD82}"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3654-43C0-BF9F-9059F7C2B478}"/>
                </c:ext>
                <c:ext xmlns:c15="http://schemas.microsoft.com/office/drawing/2012/chart" uri="{CE6537A1-D6FC-4f65-9D91-7224C49458BB}">
                  <c15:layout/>
                  <c15:dlblFieldTable/>
                  <c15:showDataLabelsRange val="1"/>
                </c:ext>
              </c:extLst>
            </c:dLbl>
            <c:dLbl>
              <c:idx val="6"/>
              <c:layout>
                <c:manualLayout>
                  <c:x val="1.2629372200107316E-2"/>
                  <c:y val="-3.1919845635733891E-2"/>
                </c:manualLayout>
              </c:layout>
              <c:tx>
                <c:rich>
                  <a:bodyPr/>
                  <a:lstStyle/>
                  <a:p>
                    <a:fld id="{6D63321D-E946-4C19-99A6-0094C0F9B980}"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3654-43C0-BF9F-9059F7C2B478}"/>
                </c:ext>
                <c:ext xmlns:c15="http://schemas.microsoft.com/office/drawing/2012/chart" uri="{CE6537A1-D6FC-4f65-9D91-7224C49458BB}">
                  <c15:layout/>
                  <c15:dlblFieldTable/>
                  <c15:showDataLabelsRange val="1"/>
                </c:ext>
              </c:extLst>
            </c:dLbl>
            <c:dLbl>
              <c:idx val="7"/>
              <c:layout>
                <c:manualLayout>
                  <c:x val="1.6963782855193815E-2"/>
                  <c:y val="-2.1801795323529792E-2"/>
                </c:manualLayout>
              </c:layout>
              <c:tx>
                <c:rich>
                  <a:bodyPr/>
                  <a:lstStyle/>
                  <a:p>
                    <a:fld id="{0543902B-6A0A-41D4-B81B-997EB9E22025}"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3654-43C0-BF9F-9059F7C2B478}"/>
                </c:ext>
                <c:ext xmlns:c15="http://schemas.microsoft.com/office/drawing/2012/chart" uri="{CE6537A1-D6FC-4f65-9D91-7224C49458BB}">
                  <c15:layout/>
                  <c15:dlblFieldTable/>
                  <c15:showDataLabelsRange val="1"/>
                </c:ext>
              </c:extLst>
            </c:dLbl>
            <c:spPr>
              <a:noFill/>
              <a:ln>
                <a:noFill/>
              </a:ln>
              <a:effectLst/>
            </c:spPr>
            <c:txPr>
              <a:bodyPr rot="0" vert="horz"/>
              <a:lstStyle/>
              <a:p>
                <a:pPr>
                  <a:defRPr/>
                </a:pPr>
                <a:endParaRPr lang="en-US"/>
              </a:p>
            </c:txPr>
            <c:dLblPos val="outEnd"/>
            <c:showLegendKey val="0"/>
            <c:showVal val="0"/>
            <c:showCatName val="0"/>
            <c:showSerName val="0"/>
            <c:showPercent val="0"/>
            <c:showBubbleSize val="0"/>
            <c:showLeaderLines val="1"/>
            <c:extLst xmlns:c16r2="http://schemas.microsoft.com/office/drawing/2015/06/chart">
              <c:ext xmlns:c15="http://schemas.microsoft.com/office/drawing/2012/chart" uri="{CE6537A1-D6FC-4f65-9D91-7224C49458BB}">
                <c15:layout/>
                <c15:showDataLabelsRange val="1"/>
              </c:ext>
            </c:extLst>
          </c:dLbls>
          <c:cat>
            <c:strRef>
              <c:f>Sheet1!$A$2:$A$9</c:f>
              <c:strCache>
                <c:ptCount val="8"/>
                <c:pt idx="0">
                  <c:v>Salaries and Wages, $27,736,501</c:v>
                </c:pt>
                <c:pt idx="1">
                  <c:v>Benefits, $9,220,467</c:v>
                </c:pt>
                <c:pt idx="2">
                  <c:v>Scholarships, net, $7,516,899</c:v>
                </c:pt>
                <c:pt idx="3">
                  <c:v>Other Expenses, $6,226,446</c:v>
                </c:pt>
                <c:pt idx="4">
                  <c:v>Depreciation, $2,625,219</c:v>
                </c:pt>
                <c:pt idx="5">
                  <c:v>Purchased Services, $3,286,504</c:v>
                </c:pt>
                <c:pt idx="6">
                  <c:v>Supplies and Materials, $2,965,788</c:v>
                </c:pt>
                <c:pt idx="7">
                  <c:v>Utilities, $993,289</c:v>
                </c:pt>
              </c:strCache>
            </c:strRef>
          </c:cat>
          <c:val>
            <c:numRef>
              <c:f>Sheet1!$B$2:$B$9</c:f>
              <c:numCache>
                <c:formatCode>_(* #,##0_);_(* \(#,##0\);_(* "-"??_);_(@_)</c:formatCode>
                <c:ptCount val="8"/>
                <c:pt idx="0" formatCode="_(&quot;$&quot;* #,##0_);_(&quot;$&quot;* \(#,##0\);_(&quot;$&quot;* &quot;-&quot;??_);_(@_)">
                  <c:v>27736501</c:v>
                </c:pt>
                <c:pt idx="1">
                  <c:v>9220467</c:v>
                </c:pt>
                <c:pt idx="2">
                  <c:v>7516899</c:v>
                </c:pt>
                <c:pt idx="3">
                  <c:v>6226446</c:v>
                </c:pt>
                <c:pt idx="4">
                  <c:v>2625219</c:v>
                </c:pt>
                <c:pt idx="5">
                  <c:v>3286504</c:v>
                </c:pt>
                <c:pt idx="6">
                  <c:v>2965788</c:v>
                </c:pt>
                <c:pt idx="7">
                  <c:v>993289</c:v>
                </c:pt>
              </c:numCache>
            </c:numRef>
          </c:val>
          <c:extLst xmlns:c16r2="http://schemas.microsoft.com/office/drawing/2015/06/chart">
            <c:ext xmlns:c16="http://schemas.microsoft.com/office/drawing/2014/chart" uri="{C3380CC4-5D6E-409C-BE32-E72D297353CC}">
              <c16:uniqueId val="{00000010-3654-43C0-BF9F-9059F7C2B478}"/>
            </c:ext>
            <c:ext xmlns:c15="http://schemas.microsoft.com/office/drawing/2012/chart" uri="{02D57815-91ED-43cb-92C2-25804820EDAC}">
              <c15:datalabelsRange>
                <c15:f>Sheet1!$C$2:$C$9</c15:f>
                <c15:dlblRangeCache>
                  <c:ptCount val="8"/>
                  <c:pt idx="0">
                    <c:v>46%</c:v>
                  </c:pt>
                  <c:pt idx="1">
                    <c:v>15%</c:v>
                  </c:pt>
                  <c:pt idx="2">
                    <c:v>12%</c:v>
                  </c:pt>
                  <c:pt idx="3">
                    <c:v>10%</c:v>
                  </c:pt>
                  <c:pt idx="4">
                    <c:v>4%</c:v>
                  </c:pt>
                  <c:pt idx="5">
                    <c:v>5%</c:v>
                  </c:pt>
                  <c:pt idx="6">
                    <c:v>5%</c:v>
                  </c:pt>
                  <c:pt idx="7">
                    <c:v>2%</c:v>
                  </c:pt>
                </c15:dlblRangeCache>
              </c15:datalabelsRange>
            </c:ext>
          </c:extLst>
        </c:ser>
        <c:ser>
          <c:idx val="1"/>
          <c:order val="1"/>
          <c:tx>
            <c:strRef>
              <c:f>Sheet1!$C$1</c:f>
              <c:strCache>
                <c:ptCount val="1"/>
                <c:pt idx="0">
                  <c:v>2017 Selected Elements of Expense2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2-3654-43C0-BF9F-9059F7C2B47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4-3654-43C0-BF9F-9059F7C2B47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6-3654-43C0-BF9F-9059F7C2B47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8-3654-43C0-BF9F-9059F7C2B47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A-3654-43C0-BF9F-9059F7C2B47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C-3654-43C0-BF9F-9059F7C2B47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E-3654-43C0-BF9F-9059F7C2B478}"/>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0-3654-43C0-BF9F-9059F7C2B478}"/>
              </c:ext>
            </c:extLst>
          </c:dPt>
          <c:dLbls>
            <c:spPr>
              <a:noFill/>
              <a:ln>
                <a:noFill/>
              </a:ln>
              <a:effectLst/>
            </c:spPr>
            <c:txPr>
              <a:bodyPr rot="0" vert="horz"/>
              <a:lstStyle/>
              <a:p>
                <a:pPr>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Salaries and Wages, $27,736,501</c:v>
                </c:pt>
                <c:pt idx="1">
                  <c:v>Benefits, $9,220,467</c:v>
                </c:pt>
                <c:pt idx="2">
                  <c:v>Scholarships, net, $7,516,899</c:v>
                </c:pt>
                <c:pt idx="3">
                  <c:v>Other Expenses, $6,226,446</c:v>
                </c:pt>
                <c:pt idx="4">
                  <c:v>Depreciation, $2,625,219</c:v>
                </c:pt>
                <c:pt idx="5">
                  <c:v>Purchased Services, $3,286,504</c:v>
                </c:pt>
                <c:pt idx="6">
                  <c:v>Supplies and Materials, $2,965,788</c:v>
                </c:pt>
                <c:pt idx="7">
                  <c:v>Utilities, $993,289</c:v>
                </c:pt>
              </c:strCache>
            </c:strRef>
          </c:cat>
          <c:val>
            <c:numRef>
              <c:f>Sheet1!$C$2:$C$9</c:f>
              <c:numCache>
                <c:formatCode>0%</c:formatCode>
                <c:ptCount val="8"/>
                <c:pt idx="0">
                  <c:v>0.45791631730458709</c:v>
                </c:pt>
                <c:pt idx="1">
                  <c:v>0.15222548411814721</c:v>
                </c:pt>
                <c:pt idx="2">
                  <c:v>0.1241003941928556</c:v>
                </c:pt>
                <c:pt idx="3">
                  <c:v>0.1027956346121624</c:v>
                </c:pt>
                <c:pt idx="4">
                  <c:v>4.334110552005211E-2</c:v>
                </c:pt>
                <c:pt idx="5">
                  <c:v>5.4258603436922154E-2</c:v>
                </c:pt>
                <c:pt idx="6">
                  <c:v>4.8963736228522001E-2</c:v>
                </c:pt>
                <c:pt idx="7">
                  <c:v>1.6398724586751443E-2</c:v>
                </c:pt>
              </c:numCache>
            </c:numRef>
          </c:val>
          <c:extLst xmlns:c16r2="http://schemas.microsoft.com/office/drawing/2015/06/chart">
            <c:ext xmlns:c16="http://schemas.microsoft.com/office/drawing/2014/chart" uri="{C3380CC4-5D6E-409C-BE32-E72D297353CC}">
              <c16:uniqueId val="{00000021-3654-43C0-BF9F-9059F7C2B478}"/>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6492418975768863"/>
          <c:y val="0.11197904277261711"/>
          <c:w val="0.31907154243756342"/>
          <c:h val="0.82598455307809282"/>
        </c:manualLayout>
      </c:layout>
      <c:overlay val="0"/>
    </c:legend>
    <c:plotVisOnly val="1"/>
    <c:dispBlanksAs val="gap"/>
    <c:showDLblsOverMax val="0"/>
  </c:chart>
  <c:spPr>
    <a:solidFill>
      <a:schemeClr val="bg1"/>
    </a:solidFill>
    <a:ln w="9525" cap="flat" cmpd="sng" algn="ctr">
      <a:solidFill>
        <a:schemeClr val="accent1"/>
      </a:solidFill>
      <a:round/>
    </a:ln>
    <a:effectLst/>
  </c:spPr>
  <c:txPr>
    <a:bodyPr/>
    <a:lstStyle/>
    <a:p>
      <a:pPr>
        <a:defRPr>
          <a:ln>
            <a:noFill/>
          </a:l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D9F76-5160-4A93-99EB-CD71C2B64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14424</Words>
  <Characters>82223</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kdarnall</dc:creator>
  <cp:lastModifiedBy>Kim Cook</cp:lastModifiedBy>
  <cp:revision>2</cp:revision>
  <cp:lastPrinted>2017-11-17T16:52:00Z</cp:lastPrinted>
  <dcterms:created xsi:type="dcterms:W3CDTF">2018-01-19T20:27:00Z</dcterms:created>
  <dcterms:modified xsi:type="dcterms:W3CDTF">2018-01-19T20:27:00Z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